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EFCAD8">
      <w:pPr>
        <w:spacing w:line="600" w:lineRule="exact"/>
        <w:jc w:val="center"/>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团体标准《甘蔗种质资源信息平台运行维护管理规范》（征求意见稿）编制说明</w:t>
      </w:r>
    </w:p>
    <w:p w14:paraId="7545AED6">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p>
    <w:p w14:paraId="0D5136F0">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一、任务来源、起草单位、主要起草人</w:t>
      </w:r>
    </w:p>
    <w:p w14:paraId="7FB55DF0">
      <w:pPr>
        <w:ind w:firstLine="640" w:firstLineChars="200"/>
        <w:rPr>
          <w:rFonts w:ascii="仿宋_GB2312" w:hAnsi="宋体" w:eastAsia="仿宋_GB2312"/>
          <w:sz w:val="32"/>
          <w:szCs w:val="28"/>
        </w:rPr>
      </w:pPr>
      <w:r>
        <w:rPr>
          <w:rFonts w:hint="eastAsia" w:ascii="仿宋_GB2312" w:hAnsi="宋体" w:eastAsia="仿宋_GB2312"/>
          <w:sz w:val="32"/>
          <w:szCs w:val="28"/>
        </w:rPr>
        <w:t>根据《广西标准化协会关于下达2024年第十四批团体标准制修订项目计划的通知》（桂标协〔2024〕102号）文件精神，由广西壮族自治区农业科学院提出，广西壮族自治区农业科学院农业科技信息研究所、广西壮族自治区农业科学院甘蔗研究所、广西壮族自治区亚热带作物研究所、广西金点子信息科技有限公司、广西春之蓝农业科技有限公司等单位共同起草的团体标准《甘蔗种质资源信息平台运行维护管理规范》（项目编号：2024-1415）已获批立项。</w:t>
      </w:r>
    </w:p>
    <w:p w14:paraId="0355CC92">
      <w:pPr>
        <w:spacing w:before="100" w:beforeAutospacing="1" w:after="312" w:afterLines="100" w:line="500" w:lineRule="exact"/>
        <w:ind w:firstLine="640" w:firstLineChars="200"/>
        <w:textAlignment w:val="baseline"/>
        <w:rPr>
          <w:rFonts w:ascii="仿宋_GB2312" w:hAnsi="Calibri" w:eastAsia="仿宋_GB2312" w:cs="Calibri"/>
          <w:sz w:val="32"/>
          <w:szCs w:val="32"/>
        </w:rPr>
      </w:pPr>
      <w:r>
        <w:rPr>
          <w:rFonts w:hint="eastAsia" w:ascii="仿宋_GB2312" w:hAnsi="Calibri" w:eastAsia="仿宋_GB2312" w:cs="Calibri"/>
          <w:sz w:val="32"/>
          <w:szCs w:val="32"/>
        </w:rPr>
        <w:t>为高质量编制团体标准《甘蔗种质资源信息平台运行维护管理规范》，成立标准起草小组并进行如下分工：</w:t>
      </w:r>
    </w:p>
    <w:tbl>
      <w:tblPr>
        <w:tblStyle w:val="6"/>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47"/>
        <w:gridCol w:w="1371"/>
        <w:gridCol w:w="1702"/>
        <w:gridCol w:w="1703"/>
        <w:gridCol w:w="3251"/>
      </w:tblGrid>
      <w:tr w14:paraId="4730DE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8" w:space="0"/>
              <w:bottom w:val="single" w:color="auto" w:sz="4" w:space="0"/>
              <w:right w:val="single" w:color="auto" w:sz="4" w:space="0"/>
            </w:tcBorders>
            <w:vAlign w:val="center"/>
          </w:tcPr>
          <w:p w14:paraId="0D95A20F">
            <w:pPr>
              <w:jc w:val="center"/>
              <w:rPr>
                <w:rFonts w:hint="eastAsia" w:ascii="仿宋" w:hAnsi="仿宋" w:eastAsia="仿宋" w:cs="Calibri"/>
                <w:b/>
                <w:sz w:val="24"/>
              </w:rPr>
            </w:pPr>
            <w:r>
              <w:rPr>
                <w:rFonts w:hint="eastAsia" w:ascii="仿宋" w:hAnsi="仿宋" w:eastAsia="仿宋" w:cs="Calibri"/>
                <w:b/>
                <w:sz w:val="24"/>
              </w:rPr>
              <w:t>姓名</w:t>
            </w:r>
          </w:p>
        </w:tc>
        <w:tc>
          <w:tcPr>
            <w:tcW w:w="747" w:type="pct"/>
            <w:tcBorders>
              <w:top w:val="single" w:color="auto" w:sz="4" w:space="0"/>
              <w:left w:val="single" w:color="auto" w:sz="4" w:space="0"/>
              <w:bottom w:val="single" w:color="auto" w:sz="4" w:space="0"/>
              <w:right w:val="single" w:color="auto" w:sz="4" w:space="0"/>
            </w:tcBorders>
            <w:vAlign w:val="center"/>
          </w:tcPr>
          <w:p w14:paraId="4076C296">
            <w:pPr>
              <w:jc w:val="center"/>
              <w:rPr>
                <w:rFonts w:hint="eastAsia" w:ascii="仿宋" w:hAnsi="仿宋" w:eastAsia="仿宋" w:cs="Calibri"/>
                <w:b/>
                <w:sz w:val="24"/>
              </w:rPr>
            </w:pPr>
            <w:r>
              <w:rPr>
                <w:rFonts w:hint="eastAsia" w:ascii="仿宋" w:hAnsi="仿宋" w:eastAsia="仿宋" w:cs="Calibri"/>
                <w:b/>
                <w:sz w:val="24"/>
              </w:rPr>
              <w:t>职务/职称</w:t>
            </w:r>
          </w:p>
        </w:tc>
        <w:tc>
          <w:tcPr>
            <w:tcW w:w="927" w:type="pct"/>
            <w:tcBorders>
              <w:top w:val="single" w:color="auto" w:sz="4" w:space="0"/>
              <w:left w:val="single" w:color="auto" w:sz="4" w:space="0"/>
              <w:bottom w:val="single" w:color="auto" w:sz="4" w:space="0"/>
              <w:right w:val="single" w:color="auto" w:sz="4" w:space="0"/>
            </w:tcBorders>
            <w:vAlign w:val="center"/>
          </w:tcPr>
          <w:p w14:paraId="2713C39E">
            <w:pPr>
              <w:jc w:val="center"/>
              <w:rPr>
                <w:rFonts w:hint="eastAsia" w:ascii="仿宋" w:hAnsi="仿宋" w:eastAsia="仿宋" w:cs="Calibri"/>
                <w:b/>
                <w:sz w:val="24"/>
              </w:rPr>
            </w:pPr>
            <w:r>
              <w:rPr>
                <w:rFonts w:hint="eastAsia" w:ascii="仿宋" w:hAnsi="仿宋" w:eastAsia="仿宋" w:cs="Calibri"/>
                <w:b/>
                <w:sz w:val="24"/>
              </w:rPr>
              <w:t>从事专业</w:t>
            </w:r>
          </w:p>
        </w:tc>
        <w:tc>
          <w:tcPr>
            <w:tcW w:w="928" w:type="pct"/>
            <w:tcBorders>
              <w:top w:val="single" w:color="auto" w:sz="4" w:space="0"/>
              <w:left w:val="single" w:color="auto" w:sz="4" w:space="0"/>
              <w:bottom w:val="single" w:color="auto" w:sz="4" w:space="0"/>
              <w:right w:val="single" w:color="auto" w:sz="4" w:space="0"/>
            </w:tcBorders>
            <w:vAlign w:val="center"/>
          </w:tcPr>
          <w:p w14:paraId="3C44570B">
            <w:pPr>
              <w:jc w:val="center"/>
              <w:rPr>
                <w:rFonts w:hint="eastAsia" w:ascii="仿宋" w:hAnsi="仿宋" w:eastAsia="仿宋" w:cs="Calibri"/>
                <w:b/>
                <w:sz w:val="24"/>
              </w:rPr>
            </w:pPr>
            <w:r>
              <w:rPr>
                <w:rFonts w:hint="eastAsia" w:ascii="仿宋" w:hAnsi="仿宋" w:eastAsia="仿宋" w:cs="Calibri"/>
                <w:b/>
                <w:sz w:val="24"/>
              </w:rPr>
              <w:t>工作单位</w:t>
            </w:r>
          </w:p>
        </w:tc>
        <w:tc>
          <w:tcPr>
            <w:tcW w:w="1771" w:type="pct"/>
            <w:tcBorders>
              <w:top w:val="single" w:color="auto" w:sz="4" w:space="0"/>
              <w:left w:val="single" w:color="auto" w:sz="4" w:space="0"/>
              <w:bottom w:val="single" w:color="auto" w:sz="4" w:space="0"/>
              <w:right w:val="single" w:color="auto" w:sz="8" w:space="0"/>
            </w:tcBorders>
            <w:vAlign w:val="center"/>
          </w:tcPr>
          <w:p w14:paraId="24CC2840">
            <w:pPr>
              <w:jc w:val="center"/>
              <w:rPr>
                <w:rFonts w:hint="eastAsia" w:ascii="仿宋" w:hAnsi="仿宋" w:eastAsia="仿宋" w:cs="Calibri"/>
                <w:b/>
                <w:sz w:val="24"/>
              </w:rPr>
            </w:pPr>
            <w:r>
              <w:rPr>
                <w:rFonts w:hint="eastAsia" w:ascii="仿宋" w:hAnsi="仿宋" w:eastAsia="仿宋" w:cs="Calibri"/>
                <w:b/>
                <w:sz w:val="24"/>
              </w:rPr>
              <w:t>责任分工</w:t>
            </w:r>
          </w:p>
        </w:tc>
      </w:tr>
      <w:tr w14:paraId="647927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38CBA754">
            <w:pPr>
              <w:jc w:val="center"/>
              <w:rPr>
                <w:rFonts w:hint="eastAsia" w:ascii="仿宋_GB2312" w:hAnsi="Calibri" w:eastAsia="仿宋_GB2312" w:cs="Calibri"/>
                <w:sz w:val="24"/>
              </w:rPr>
            </w:pPr>
            <w:r>
              <w:rPr>
                <w:rFonts w:hint="eastAsia" w:ascii="仿宋_GB2312" w:hAnsi="Calibri" w:eastAsia="仿宋_GB2312" w:cs="Calibri"/>
                <w:sz w:val="24"/>
              </w:rPr>
              <w:t>方辉</w:t>
            </w:r>
          </w:p>
        </w:tc>
        <w:tc>
          <w:tcPr>
            <w:tcW w:w="747" w:type="pct"/>
            <w:tcBorders>
              <w:top w:val="single" w:color="auto" w:sz="4" w:space="0"/>
              <w:left w:val="single" w:color="auto" w:sz="4" w:space="0"/>
              <w:bottom w:val="single" w:color="auto" w:sz="4" w:space="0"/>
              <w:right w:val="single" w:color="auto" w:sz="4" w:space="0"/>
            </w:tcBorders>
            <w:vAlign w:val="center"/>
          </w:tcPr>
          <w:p w14:paraId="77DF0612">
            <w:pPr>
              <w:jc w:val="center"/>
              <w:rPr>
                <w:rFonts w:hint="eastAsia" w:ascii="仿宋_GB2312" w:hAnsi="Calibri" w:eastAsia="仿宋_GB2312" w:cs="Calibri"/>
                <w:sz w:val="24"/>
              </w:rPr>
            </w:pPr>
            <w:r>
              <w:rPr>
                <w:rFonts w:hint="eastAsia" w:ascii="仿宋_GB2312" w:hAnsi="Calibri" w:eastAsia="仿宋_GB2312" w:cs="Calibri"/>
                <w:sz w:val="24"/>
              </w:rPr>
              <w:t>高级工程师</w:t>
            </w:r>
          </w:p>
        </w:tc>
        <w:tc>
          <w:tcPr>
            <w:tcW w:w="927" w:type="pct"/>
            <w:tcBorders>
              <w:top w:val="single" w:color="auto" w:sz="4" w:space="0"/>
              <w:left w:val="single" w:color="auto" w:sz="4" w:space="0"/>
              <w:bottom w:val="single" w:color="auto" w:sz="4" w:space="0"/>
              <w:right w:val="single" w:color="auto" w:sz="4" w:space="0"/>
            </w:tcBorders>
            <w:vAlign w:val="center"/>
          </w:tcPr>
          <w:p w14:paraId="41F8E876">
            <w:pPr>
              <w:jc w:val="center"/>
              <w:rPr>
                <w:rFonts w:hint="eastAsia" w:ascii="仿宋_GB2312" w:hAnsi="Calibri" w:eastAsia="仿宋_GB2312" w:cs="Calibri"/>
                <w:sz w:val="24"/>
              </w:rPr>
            </w:pPr>
            <w:r>
              <w:rPr>
                <w:rFonts w:hint="eastAsia" w:ascii="仿宋_GB2312" w:hAnsi="Calibri" w:eastAsia="仿宋_GB2312" w:cs="Calibri"/>
                <w:sz w:val="24"/>
              </w:rPr>
              <w:t>计算机应用技术</w:t>
            </w:r>
          </w:p>
        </w:tc>
        <w:tc>
          <w:tcPr>
            <w:tcW w:w="928" w:type="pct"/>
            <w:tcBorders>
              <w:top w:val="single" w:color="auto" w:sz="4" w:space="0"/>
              <w:left w:val="single" w:color="auto" w:sz="4" w:space="0"/>
              <w:bottom w:val="single" w:color="auto" w:sz="4" w:space="0"/>
              <w:right w:val="single" w:color="auto" w:sz="4" w:space="0"/>
            </w:tcBorders>
            <w:vAlign w:val="center"/>
          </w:tcPr>
          <w:p w14:paraId="04FABD87">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广西壮族自治区农业科学院农业科技信息研究所</w:t>
            </w:r>
          </w:p>
        </w:tc>
        <w:tc>
          <w:tcPr>
            <w:tcW w:w="1771" w:type="pct"/>
            <w:tcBorders>
              <w:top w:val="single" w:color="auto" w:sz="4" w:space="0"/>
              <w:left w:val="single" w:color="auto" w:sz="4" w:space="0"/>
              <w:bottom w:val="single" w:color="auto" w:sz="4" w:space="0"/>
              <w:right w:val="single" w:color="auto" w:sz="4" w:space="0"/>
            </w:tcBorders>
            <w:vAlign w:val="center"/>
          </w:tcPr>
          <w:p w14:paraId="2245A289">
            <w:pPr>
              <w:jc w:val="left"/>
              <w:rPr>
                <w:rFonts w:hint="eastAsia" w:ascii="仿宋_GB2312" w:hAnsi="Calibri" w:eastAsia="仿宋_GB2312" w:cs="Calibri"/>
                <w:sz w:val="24"/>
              </w:rPr>
            </w:pPr>
            <w:r>
              <w:rPr>
                <w:rFonts w:hint="eastAsia" w:ascii="仿宋_GB2312" w:hAnsi="Calibri" w:eastAsia="仿宋_GB2312" w:cs="Calibri"/>
                <w:sz w:val="24"/>
              </w:rPr>
              <w:t>统筹主持标准编制工作。</w:t>
            </w:r>
          </w:p>
        </w:tc>
      </w:tr>
      <w:tr w14:paraId="4CE7F2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16FF833B">
            <w:pPr>
              <w:jc w:val="center"/>
              <w:rPr>
                <w:rFonts w:hint="eastAsia" w:ascii="仿宋_GB2312" w:hAnsi="Calibri" w:eastAsia="仿宋_GB2312" w:cs="Calibri"/>
                <w:sz w:val="24"/>
              </w:rPr>
            </w:pPr>
            <w:r>
              <w:rPr>
                <w:rFonts w:hint="eastAsia" w:ascii="仿宋_GB2312" w:hAnsi="Calibri" w:eastAsia="仿宋_GB2312" w:cs="Calibri"/>
                <w:sz w:val="24"/>
              </w:rPr>
              <w:t>段维兴</w:t>
            </w:r>
          </w:p>
        </w:tc>
        <w:tc>
          <w:tcPr>
            <w:tcW w:w="747" w:type="pct"/>
            <w:tcBorders>
              <w:top w:val="single" w:color="auto" w:sz="4" w:space="0"/>
              <w:left w:val="single" w:color="auto" w:sz="4" w:space="0"/>
              <w:bottom w:val="single" w:color="auto" w:sz="4" w:space="0"/>
              <w:right w:val="single" w:color="auto" w:sz="4" w:space="0"/>
            </w:tcBorders>
            <w:vAlign w:val="center"/>
          </w:tcPr>
          <w:p w14:paraId="635A2701">
            <w:pPr>
              <w:jc w:val="center"/>
              <w:rPr>
                <w:rFonts w:hint="eastAsia" w:ascii="仿宋_GB2312" w:hAnsi="Calibri" w:eastAsia="仿宋_GB2312" w:cs="Calibri"/>
                <w:sz w:val="24"/>
              </w:rPr>
            </w:pPr>
            <w:r>
              <w:rPr>
                <w:rFonts w:hint="eastAsia" w:ascii="仿宋_GB2312" w:hAnsi="Calibri" w:eastAsia="仿宋_GB2312" w:cs="Calibri"/>
                <w:sz w:val="24"/>
              </w:rPr>
              <w:t>副研究员</w:t>
            </w:r>
          </w:p>
        </w:tc>
        <w:tc>
          <w:tcPr>
            <w:tcW w:w="927" w:type="pct"/>
            <w:tcBorders>
              <w:top w:val="single" w:color="auto" w:sz="4" w:space="0"/>
              <w:left w:val="single" w:color="auto" w:sz="4" w:space="0"/>
              <w:bottom w:val="single" w:color="auto" w:sz="4" w:space="0"/>
              <w:right w:val="single" w:color="auto" w:sz="4" w:space="0"/>
            </w:tcBorders>
            <w:vAlign w:val="center"/>
          </w:tcPr>
          <w:p w14:paraId="14973086">
            <w:pPr>
              <w:jc w:val="center"/>
              <w:rPr>
                <w:rFonts w:hint="eastAsia" w:ascii="仿宋_GB2312" w:hAnsi="Calibri" w:eastAsia="仿宋_GB2312" w:cs="Calibri"/>
                <w:sz w:val="24"/>
              </w:rPr>
            </w:pPr>
            <w:r>
              <w:rPr>
                <w:rFonts w:hint="eastAsia" w:ascii="仿宋_GB2312" w:hAnsi="Calibri" w:eastAsia="仿宋_GB2312" w:cs="Calibri"/>
                <w:sz w:val="24"/>
              </w:rPr>
              <w:t>甘蔗种质资源管理</w:t>
            </w:r>
          </w:p>
        </w:tc>
        <w:tc>
          <w:tcPr>
            <w:tcW w:w="928" w:type="pct"/>
            <w:tcBorders>
              <w:top w:val="single" w:color="auto" w:sz="4" w:space="0"/>
              <w:left w:val="single" w:color="auto" w:sz="4" w:space="0"/>
              <w:bottom w:val="single" w:color="auto" w:sz="4" w:space="0"/>
              <w:right w:val="single" w:color="auto" w:sz="4" w:space="0"/>
            </w:tcBorders>
            <w:vAlign w:val="center"/>
          </w:tcPr>
          <w:p w14:paraId="072D5262">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广西壮族自治区农业科学院甘蔗研究所</w:t>
            </w:r>
          </w:p>
        </w:tc>
        <w:tc>
          <w:tcPr>
            <w:tcW w:w="1771" w:type="pct"/>
            <w:tcBorders>
              <w:top w:val="single" w:color="auto" w:sz="4" w:space="0"/>
              <w:left w:val="single" w:color="auto" w:sz="4" w:space="0"/>
              <w:bottom w:val="single" w:color="auto" w:sz="4" w:space="0"/>
              <w:right w:val="single" w:color="auto" w:sz="4" w:space="0"/>
            </w:tcBorders>
            <w:vAlign w:val="center"/>
          </w:tcPr>
          <w:p w14:paraId="70BE3AF0">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14CBA5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793C3B6C">
            <w:pPr>
              <w:jc w:val="center"/>
              <w:rPr>
                <w:rFonts w:hint="eastAsia" w:ascii="仿宋_GB2312" w:hAnsi="Calibri" w:eastAsia="仿宋_GB2312" w:cs="Calibri"/>
                <w:sz w:val="24"/>
              </w:rPr>
            </w:pPr>
            <w:r>
              <w:rPr>
                <w:rFonts w:hint="eastAsia" w:ascii="仿宋_GB2312" w:hAnsi="Calibri" w:eastAsia="仿宋_GB2312" w:cs="Calibri"/>
                <w:sz w:val="24"/>
              </w:rPr>
              <w:t>张保青</w:t>
            </w:r>
          </w:p>
        </w:tc>
        <w:tc>
          <w:tcPr>
            <w:tcW w:w="747" w:type="pct"/>
            <w:tcBorders>
              <w:top w:val="single" w:color="auto" w:sz="4" w:space="0"/>
              <w:left w:val="single" w:color="auto" w:sz="4" w:space="0"/>
              <w:bottom w:val="single" w:color="auto" w:sz="4" w:space="0"/>
              <w:right w:val="single" w:color="auto" w:sz="4" w:space="0"/>
            </w:tcBorders>
            <w:vAlign w:val="center"/>
          </w:tcPr>
          <w:p w14:paraId="16C09260">
            <w:pPr>
              <w:jc w:val="center"/>
              <w:rPr>
                <w:rFonts w:hint="eastAsia" w:ascii="仿宋_GB2312" w:hAnsi="Calibri" w:eastAsia="仿宋_GB2312" w:cs="Calibri"/>
                <w:sz w:val="24"/>
              </w:rPr>
            </w:pPr>
            <w:r>
              <w:rPr>
                <w:rFonts w:hint="eastAsia" w:ascii="仿宋_GB2312" w:hAnsi="Calibri" w:eastAsia="仿宋_GB2312" w:cs="Calibri"/>
                <w:sz w:val="24"/>
              </w:rPr>
              <w:t>副研究员</w:t>
            </w:r>
          </w:p>
        </w:tc>
        <w:tc>
          <w:tcPr>
            <w:tcW w:w="927" w:type="pct"/>
            <w:tcBorders>
              <w:top w:val="single" w:color="auto" w:sz="4" w:space="0"/>
              <w:left w:val="single" w:color="auto" w:sz="4" w:space="0"/>
              <w:bottom w:val="single" w:color="auto" w:sz="4" w:space="0"/>
              <w:right w:val="single" w:color="auto" w:sz="4" w:space="0"/>
            </w:tcBorders>
            <w:vAlign w:val="center"/>
          </w:tcPr>
          <w:p w14:paraId="74BC3554">
            <w:pPr>
              <w:jc w:val="center"/>
              <w:rPr>
                <w:rFonts w:hint="eastAsia" w:ascii="仿宋_GB2312" w:hAnsi="Calibri" w:eastAsia="仿宋_GB2312" w:cs="Calibri"/>
                <w:sz w:val="24"/>
              </w:rPr>
            </w:pPr>
            <w:r>
              <w:rPr>
                <w:rFonts w:hint="eastAsia" w:ascii="仿宋_GB2312" w:hAnsi="Calibri" w:eastAsia="仿宋_GB2312" w:cs="Calibri"/>
                <w:sz w:val="24"/>
              </w:rPr>
              <w:t>甘蔗种质资源管理</w:t>
            </w:r>
          </w:p>
        </w:tc>
        <w:tc>
          <w:tcPr>
            <w:tcW w:w="928" w:type="pct"/>
            <w:tcBorders>
              <w:top w:val="single" w:color="auto" w:sz="4" w:space="0"/>
              <w:left w:val="single" w:color="auto" w:sz="4" w:space="0"/>
              <w:bottom w:val="single" w:color="auto" w:sz="4" w:space="0"/>
              <w:right w:val="single" w:color="auto" w:sz="4" w:space="0"/>
            </w:tcBorders>
            <w:vAlign w:val="center"/>
          </w:tcPr>
          <w:p w14:paraId="7356CA27">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广西壮族自治区农业科学院甘蔗研究所</w:t>
            </w:r>
          </w:p>
        </w:tc>
        <w:tc>
          <w:tcPr>
            <w:tcW w:w="1771" w:type="pct"/>
            <w:tcBorders>
              <w:top w:val="single" w:color="auto" w:sz="4" w:space="0"/>
              <w:left w:val="single" w:color="auto" w:sz="4" w:space="0"/>
              <w:bottom w:val="single" w:color="auto" w:sz="4" w:space="0"/>
              <w:right w:val="single" w:color="auto" w:sz="4" w:space="0"/>
            </w:tcBorders>
            <w:vAlign w:val="center"/>
          </w:tcPr>
          <w:p w14:paraId="63963712">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5C294F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63AA3125">
            <w:pPr>
              <w:jc w:val="center"/>
              <w:rPr>
                <w:rFonts w:hint="eastAsia" w:ascii="仿宋_GB2312" w:hAnsi="Calibri" w:eastAsia="仿宋_GB2312" w:cs="Calibri"/>
                <w:sz w:val="24"/>
              </w:rPr>
            </w:pPr>
            <w:r>
              <w:rPr>
                <w:rFonts w:hint="eastAsia" w:ascii="仿宋_GB2312" w:hAnsi="Calibri" w:eastAsia="仿宋_GB2312" w:cs="Calibri"/>
                <w:sz w:val="24"/>
              </w:rPr>
              <w:t>刘昔辉</w:t>
            </w:r>
          </w:p>
        </w:tc>
        <w:tc>
          <w:tcPr>
            <w:tcW w:w="747" w:type="pct"/>
            <w:tcBorders>
              <w:top w:val="single" w:color="auto" w:sz="4" w:space="0"/>
              <w:left w:val="single" w:color="auto" w:sz="4" w:space="0"/>
              <w:bottom w:val="single" w:color="auto" w:sz="4" w:space="0"/>
              <w:right w:val="single" w:color="auto" w:sz="4" w:space="0"/>
            </w:tcBorders>
            <w:vAlign w:val="center"/>
          </w:tcPr>
          <w:p w14:paraId="132C386D">
            <w:pPr>
              <w:jc w:val="center"/>
              <w:rPr>
                <w:rFonts w:hint="eastAsia" w:ascii="仿宋_GB2312" w:hAnsi="Calibri" w:eastAsia="仿宋_GB2312" w:cs="Calibri"/>
                <w:sz w:val="24"/>
              </w:rPr>
            </w:pPr>
            <w:r>
              <w:rPr>
                <w:rFonts w:hint="eastAsia" w:ascii="仿宋_GB2312" w:hAnsi="Calibri" w:eastAsia="仿宋_GB2312" w:cs="Calibri"/>
                <w:sz w:val="24"/>
              </w:rPr>
              <w:t>研究员</w:t>
            </w:r>
          </w:p>
        </w:tc>
        <w:tc>
          <w:tcPr>
            <w:tcW w:w="927" w:type="pct"/>
            <w:tcBorders>
              <w:top w:val="single" w:color="auto" w:sz="4" w:space="0"/>
              <w:left w:val="single" w:color="auto" w:sz="4" w:space="0"/>
              <w:bottom w:val="single" w:color="auto" w:sz="4" w:space="0"/>
              <w:right w:val="single" w:color="auto" w:sz="4" w:space="0"/>
            </w:tcBorders>
            <w:vAlign w:val="center"/>
          </w:tcPr>
          <w:p w14:paraId="227D7B3A">
            <w:pPr>
              <w:jc w:val="center"/>
              <w:rPr>
                <w:rFonts w:hint="eastAsia" w:ascii="仿宋_GB2312" w:hAnsi="Calibri" w:eastAsia="仿宋_GB2312" w:cs="Calibri"/>
                <w:sz w:val="24"/>
              </w:rPr>
            </w:pPr>
            <w:r>
              <w:rPr>
                <w:rFonts w:hint="eastAsia" w:ascii="仿宋_GB2312" w:hAnsi="Calibri" w:eastAsia="仿宋_GB2312" w:cs="Calibri"/>
                <w:sz w:val="24"/>
              </w:rPr>
              <w:t>甘蔗育种</w:t>
            </w:r>
          </w:p>
        </w:tc>
        <w:tc>
          <w:tcPr>
            <w:tcW w:w="928" w:type="pct"/>
            <w:tcBorders>
              <w:top w:val="single" w:color="auto" w:sz="4" w:space="0"/>
              <w:left w:val="single" w:color="auto" w:sz="4" w:space="0"/>
              <w:bottom w:val="single" w:color="auto" w:sz="4" w:space="0"/>
              <w:right w:val="single" w:color="auto" w:sz="4" w:space="0"/>
            </w:tcBorders>
            <w:vAlign w:val="center"/>
          </w:tcPr>
          <w:p w14:paraId="42ED1A71">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广西壮族自治区农业科学院甘蔗研究所</w:t>
            </w:r>
          </w:p>
        </w:tc>
        <w:tc>
          <w:tcPr>
            <w:tcW w:w="1771" w:type="pct"/>
            <w:tcBorders>
              <w:top w:val="single" w:color="auto" w:sz="4" w:space="0"/>
              <w:left w:val="single" w:color="auto" w:sz="4" w:space="0"/>
              <w:bottom w:val="single" w:color="auto" w:sz="4" w:space="0"/>
              <w:right w:val="single" w:color="auto" w:sz="4" w:space="0"/>
            </w:tcBorders>
            <w:vAlign w:val="center"/>
          </w:tcPr>
          <w:p w14:paraId="1D1C27A3">
            <w:pPr>
              <w:jc w:val="left"/>
              <w:rPr>
                <w:rFonts w:hint="eastAsia" w:ascii="仿宋_GB2312" w:hAnsi="Calibri" w:eastAsia="仿宋_GB2312" w:cs="Calibri"/>
                <w:sz w:val="24"/>
              </w:rPr>
            </w:pPr>
            <w:r>
              <w:rPr>
                <w:rFonts w:hint="eastAsia" w:ascii="仿宋_GB2312" w:hAnsi="Calibri" w:eastAsia="仿宋_GB2312" w:cs="Calibri"/>
                <w:sz w:val="24"/>
              </w:rPr>
              <w:t>对标准实施情况进行总结分析，不断对地方标准提出修正意见。</w:t>
            </w:r>
          </w:p>
        </w:tc>
      </w:tr>
      <w:tr w14:paraId="0EB0C4E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37E4CFFD">
            <w:pPr>
              <w:jc w:val="center"/>
              <w:rPr>
                <w:rFonts w:hint="eastAsia" w:ascii="仿宋_GB2312" w:hAnsi="Calibri" w:eastAsia="仿宋_GB2312" w:cs="Calibri"/>
                <w:sz w:val="24"/>
              </w:rPr>
            </w:pPr>
            <w:r>
              <w:rPr>
                <w:rFonts w:hint="eastAsia" w:ascii="仿宋_GB2312" w:hAnsi="Calibri" w:eastAsia="仿宋_GB2312" w:cs="Calibri"/>
                <w:sz w:val="24"/>
              </w:rPr>
              <w:t>王泽平</w:t>
            </w:r>
          </w:p>
        </w:tc>
        <w:tc>
          <w:tcPr>
            <w:tcW w:w="747" w:type="pct"/>
            <w:tcBorders>
              <w:top w:val="single" w:color="auto" w:sz="4" w:space="0"/>
              <w:left w:val="single" w:color="auto" w:sz="4" w:space="0"/>
              <w:bottom w:val="single" w:color="auto" w:sz="4" w:space="0"/>
              <w:right w:val="single" w:color="auto" w:sz="4" w:space="0"/>
            </w:tcBorders>
            <w:vAlign w:val="center"/>
          </w:tcPr>
          <w:p w14:paraId="600BFDF1">
            <w:pPr>
              <w:jc w:val="center"/>
              <w:rPr>
                <w:rFonts w:hint="eastAsia" w:ascii="仿宋_GB2312" w:hAnsi="Calibri" w:eastAsia="仿宋_GB2312" w:cs="Calibri"/>
                <w:sz w:val="24"/>
              </w:rPr>
            </w:pPr>
            <w:r>
              <w:rPr>
                <w:rFonts w:hint="eastAsia" w:ascii="仿宋_GB2312" w:hAnsi="Calibri" w:eastAsia="仿宋_GB2312" w:cs="Calibri"/>
                <w:sz w:val="24"/>
              </w:rPr>
              <w:t>副研究员</w:t>
            </w:r>
          </w:p>
        </w:tc>
        <w:tc>
          <w:tcPr>
            <w:tcW w:w="927" w:type="pct"/>
            <w:tcBorders>
              <w:top w:val="single" w:color="auto" w:sz="4" w:space="0"/>
              <w:left w:val="single" w:color="auto" w:sz="4" w:space="0"/>
              <w:bottom w:val="single" w:color="auto" w:sz="4" w:space="0"/>
              <w:right w:val="single" w:color="auto" w:sz="4" w:space="0"/>
            </w:tcBorders>
            <w:vAlign w:val="center"/>
          </w:tcPr>
          <w:p w14:paraId="4719E902">
            <w:pPr>
              <w:jc w:val="center"/>
              <w:rPr>
                <w:rFonts w:hint="eastAsia" w:ascii="仿宋_GB2312" w:hAnsi="Calibri" w:eastAsia="仿宋_GB2312" w:cs="Calibri"/>
                <w:sz w:val="24"/>
              </w:rPr>
            </w:pPr>
            <w:r>
              <w:rPr>
                <w:rFonts w:hint="eastAsia" w:ascii="仿宋_GB2312" w:hAnsi="Calibri" w:eastAsia="仿宋_GB2312" w:cs="Calibri"/>
                <w:sz w:val="24"/>
              </w:rPr>
              <w:t>甘蔗种质资源管理</w:t>
            </w:r>
          </w:p>
        </w:tc>
        <w:tc>
          <w:tcPr>
            <w:tcW w:w="928" w:type="pct"/>
            <w:tcBorders>
              <w:top w:val="single" w:color="auto" w:sz="4" w:space="0"/>
              <w:left w:val="single" w:color="auto" w:sz="4" w:space="0"/>
              <w:bottom w:val="single" w:color="auto" w:sz="4" w:space="0"/>
              <w:right w:val="single" w:color="auto" w:sz="4" w:space="0"/>
            </w:tcBorders>
            <w:vAlign w:val="center"/>
          </w:tcPr>
          <w:p w14:paraId="480CBF21">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广西壮族自治区农业科学院农业科技信息研究所</w:t>
            </w:r>
          </w:p>
        </w:tc>
        <w:tc>
          <w:tcPr>
            <w:tcW w:w="1771" w:type="pct"/>
            <w:tcBorders>
              <w:top w:val="single" w:color="auto" w:sz="4" w:space="0"/>
              <w:left w:val="single" w:color="auto" w:sz="4" w:space="0"/>
              <w:bottom w:val="single" w:color="auto" w:sz="4" w:space="0"/>
              <w:right w:val="single" w:color="auto" w:sz="4" w:space="0"/>
            </w:tcBorders>
            <w:vAlign w:val="center"/>
          </w:tcPr>
          <w:p w14:paraId="2C0D20D1">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参与标准文本及编制说明的编写，组织开展标准征求意见会。</w:t>
            </w:r>
          </w:p>
        </w:tc>
      </w:tr>
      <w:tr w14:paraId="120520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2E7D7BC6">
            <w:pPr>
              <w:jc w:val="center"/>
              <w:rPr>
                <w:rFonts w:hint="eastAsia" w:ascii="仿宋_GB2312" w:hAnsi="Calibri" w:eastAsia="仿宋_GB2312" w:cs="Calibri"/>
                <w:sz w:val="24"/>
              </w:rPr>
            </w:pPr>
            <w:r>
              <w:rPr>
                <w:rFonts w:hint="eastAsia" w:ascii="仿宋_GB2312" w:hAnsi="Calibri" w:eastAsia="仿宋_GB2312" w:cs="Calibri"/>
                <w:sz w:val="24"/>
              </w:rPr>
              <w:t>李翔</w:t>
            </w:r>
          </w:p>
        </w:tc>
        <w:tc>
          <w:tcPr>
            <w:tcW w:w="747" w:type="pct"/>
            <w:tcBorders>
              <w:top w:val="single" w:color="auto" w:sz="4" w:space="0"/>
              <w:left w:val="single" w:color="auto" w:sz="4" w:space="0"/>
              <w:bottom w:val="single" w:color="auto" w:sz="4" w:space="0"/>
              <w:right w:val="single" w:color="auto" w:sz="4" w:space="0"/>
            </w:tcBorders>
            <w:vAlign w:val="center"/>
          </w:tcPr>
          <w:p w14:paraId="1F022FD3">
            <w:pPr>
              <w:jc w:val="center"/>
              <w:rPr>
                <w:rFonts w:hint="eastAsia" w:ascii="仿宋_GB2312" w:hAnsi="Calibri" w:eastAsia="仿宋_GB2312" w:cs="Calibri"/>
                <w:sz w:val="24"/>
              </w:rPr>
            </w:pPr>
            <w:r>
              <w:rPr>
                <w:rFonts w:hint="eastAsia" w:ascii="仿宋_GB2312" w:hAnsi="Calibri" w:eastAsia="仿宋_GB2312" w:cs="Calibri"/>
                <w:sz w:val="24"/>
              </w:rPr>
              <w:t>副研究员</w:t>
            </w:r>
          </w:p>
        </w:tc>
        <w:tc>
          <w:tcPr>
            <w:tcW w:w="927" w:type="pct"/>
            <w:tcBorders>
              <w:top w:val="single" w:color="auto" w:sz="4" w:space="0"/>
              <w:left w:val="single" w:color="auto" w:sz="4" w:space="0"/>
              <w:bottom w:val="single" w:color="auto" w:sz="4" w:space="0"/>
              <w:right w:val="single" w:color="auto" w:sz="4" w:space="0"/>
            </w:tcBorders>
            <w:vAlign w:val="center"/>
          </w:tcPr>
          <w:p w14:paraId="31F183C6">
            <w:pPr>
              <w:jc w:val="center"/>
              <w:rPr>
                <w:rFonts w:hint="eastAsia" w:ascii="仿宋_GB2312" w:hAnsi="Calibri" w:eastAsia="仿宋_GB2312" w:cs="Calibri"/>
                <w:sz w:val="24"/>
              </w:rPr>
            </w:pPr>
            <w:r>
              <w:rPr>
                <w:rFonts w:hint="eastAsia" w:ascii="仿宋_GB2312" w:hAnsi="Calibri" w:eastAsia="仿宋_GB2312" w:cs="Calibri"/>
                <w:sz w:val="24"/>
              </w:rPr>
              <w:t>甘蔗育种</w:t>
            </w:r>
          </w:p>
        </w:tc>
        <w:tc>
          <w:tcPr>
            <w:tcW w:w="928" w:type="pct"/>
            <w:tcBorders>
              <w:top w:val="single" w:color="auto" w:sz="4" w:space="0"/>
              <w:left w:val="single" w:color="auto" w:sz="4" w:space="0"/>
              <w:bottom w:val="single" w:color="auto" w:sz="4" w:space="0"/>
              <w:right w:val="single" w:color="auto" w:sz="4" w:space="0"/>
            </w:tcBorders>
            <w:vAlign w:val="center"/>
          </w:tcPr>
          <w:p w14:paraId="19591FC5">
            <w:pPr>
              <w:jc w:val="center"/>
              <w:rPr>
                <w:rFonts w:hint="eastAsia" w:ascii="仿宋_GB2312" w:hAnsi="Calibri" w:eastAsia="仿宋_GB2312" w:cs="Calibri"/>
                <w:sz w:val="24"/>
              </w:rPr>
            </w:pPr>
            <w:r>
              <w:rPr>
                <w:rFonts w:hint="eastAsia" w:ascii="仿宋_GB2312" w:hAnsi="Calibri" w:eastAsia="仿宋_GB2312" w:cs="Calibri"/>
                <w:sz w:val="24"/>
              </w:rPr>
              <w:t>广西壮族自治区亚热带作物研究所</w:t>
            </w:r>
          </w:p>
        </w:tc>
        <w:tc>
          <w:tcPr>
            <w:tcW w:w="1771" w:type="pct"/>
            <w:tcBorders>
              <w:top w:val="single" w:color="auto" w:sz="4" w:space="0"/>
              <w:left w:val="single" w:color="auto" w:sz="4" w:space="0"/>
              <w:bottom w:val="single" w:color="auto" w:sz="4" w:space="0"/>
              <w:right w:val="single" w:color="auto" w:sz="4" w:space="0"/>
            </w:tcBorders>
            <w:vAlign w:val="center"/>
          </w:tcPr>
          <w:p w14:paraId="0B247E12">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395CFC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69B03B8E">
            <w:pPr>
              <w:jc w:val="center"/>
              <w:rPr>
                <w:rFonts w:hint="eastAsia" w:ascii="仿宋_GB2312" w:hAnsi="Calibri" w:eastAsia="仿宋_GB2312" w:cs="Calibri"/>
                <w:sz w:val="24"/>
              </w:rPr>
            </w:pPr>
            <w:r>
              <w:rPr>
                <w:rFonts w:hint="eastAsia" w:ascii="仿宋_GB2312" w:hAnsi="Calibri" w:eastAsia="仿宋_GB2312" w:cs="Calibri"/>
                <w:sz w:val="24"/>
              </w:rPr>
              <w:t>余圣新</w:t>
            </w:r>
          </w:p>
        </w:tc>
        <w:tc>
          <w:tcPr>
            <w:tcW w:w="747" w:type="pct"/>
            <w:tcBorders>
              <w:top w:val="single" w:color="auto" w:sz="4" w:space="0"/>
              <w:left w:val="single" w:color="auto" w:sz="4" w:space="0"/>
              <w:bottom w:val="single" w:color="auto" w:sz="4" w:space="0"/>
              <w:right w:val="single" w:color="auto" w:sz="4" w:space="0"/>
            </w:tcBorders>
            <w:vAlign w:val="center"/>
          </w:tcPr>
          <w:p w14:paraId="28E9B54B">
            <w:pPr>
              <w:jc w:val="center"/>
              <w:rPr>
                <w:rFonts w:hint="eastAsia" w:ascii="仿宋_GB2312" w:hAnsi="Calibri" w:eastAsia="仿宋_GB2312" w:cs="Calibri"/>
                <w:sz w:val="24"/>
              </w:rPr>
            </w:pPr>
            <w:r>
              <w:rPr>
                <w:rFonts w:hint="eastAsia" w:ascii="仿宋_GB2312" w:hAnsi="Calibri" w:eastAsia="仿宋_GB2312" w:cs="Calibri"/>
                <w:sz w:val="24"/>
              </w:rPr>
              <w:t>助理研究员</w:t>
            </w:r>
          </w:p>
        </w:tc>
        <w:tc>
          <w:tcPr>
            <w:tcW w:w="927" w:type="pct"/>
            <w:tcBorders>
              <w:top w:val="single" w:color="auto" w:sz="4" w:space="0"/>
              <w:left w:val="single" w:color="auto" w:sz="4" w:space="0"/>
              <w:bottom w:val="single" w:color="auto" w:sz="4" w:space="0"/>
              <w:right w:val="single" w:color="auto" w:sz="4" w:space="0"/>
            </w:tcBorders>
            <w:vAlign w:val="center"/>
          </w:tcPr>
          <w:p w14:paraId="28DCB7A5">
            <w:pPr>
              <w:jc w:val="center"/>
              <w:rPr>
                <w:rFonts w:hint="eastAsia" w:ascii="仿宋_GB2312" w:hAnsi="Calibri" w:eastAsia="仿宋_GB2312" w:cs="Calibri"/>
                <w:sz w:val="24"/>
              </w:rPr>
            </w:pPr>
            <w:r>
              <w:rPr>
                <w:rFonts w:hint="eastAsia" w:ascii="仿宋_GB2312" w:hAnsi="Calibri" w:eastAsia="仿宋_GB2312" w:cs="Calibri"/>
                <w:sz w:val="24"/>
              </w:rPr>
              <w:t>计算机应用技术</w:t>
            </w:r>
          </w:p>
        </w:tc>
        <w:tc>
          <w:tcPr>
            <w:tcW w:w="928" w:type="pct"/>
            <w:tcBorders>
              <w:top w:val="single" w:color="auto" w:sz="4" w:space="0"/>
              <w:left w:val="single" w:color="auto" w:sz="4" w:space="0"/>
              <w:bottom w:val="single" w:color="auto" w:sz="4" w:space="0"/>
              <w:right w:val="single" w:color="auto" w:sz="4" w:space="0"/>
            </w:tcBorders>
            <w:vAlign w:val="center"/>
          </w:tcPr>
          <w:p w14:paraId="367DEDAA">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广西壮族自治区农业科学院农业科技信息研究所</w:t>
            </w:r>
          </w:p>
        </w:tc>
        <w:tc>
          <w:tcPr>
            <w:tcW w:w="1771" w:type="pct"/>
            <w:tcBorders>
              <w:top w:val="single" w:color="auto" w:sz="4" w:space="0"/>
              <w:left w:val="single" w:color="auto" w:sz="4" w:space="0"/>
              <w:bottom w:val="single" w:color="auto" w:sz="4" w:space="0"/>
              <w:right w:val="single" w:color="auto" w:sz="4" w:space="0"/>
            </w:tcBorders>
            <w:vAlign w:val="center"/>
          </w:tcPr>
          <w:p w14:paraId="1813597E">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5AEE0D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3F454BE2">
            <w:pPr>
              <w:jc w:val="center"/>
              <w:rPr>
                <w:rFonts w:hint="eastAsia" w:ascii="仿宋_GB2312" w:hAnsi="Calibri" w:eastAsia="仿宋_GB2312" w:cs="Calibri"/>
                <w:sz w:val="24"/>
              </w:rPr>
            </w:pPr>
            <w:r>
              <w:rPr>
                <w:rFonts w:hint="eastAsia" w:ascii="仿宋_GB2312" w:hAnsi="Calibri" w:eastAsia="仿宋_GB2312" w:cs="Calibri"/>
                <w:sz w:val="24"/>
              </w:rPr>
              <w:t>谢萌</w:t>
            </w:r>
          </w:p>
        </w:tc>
        <w:tc>
          <w:tcPr>
            <w:tcW w:w="747" w:type="pct"/>
            <w:tcBorders>
              <w:top w:val="single" w:color="auto" w:sz="4" w:space="0"/>
              <w:left w:val="single" w:color="auto" w:sz="4" w:space="0"/>
              <w:bottom w:val="single" w:color="auto" w:sz="4" w:space="0"/>
              <w:right w:val="single" w:color="auto" w:sz="4" w:space="0"/>
            </w:tcBorders>
            <w:vAlign w:val="center"/>
          </w:tcPr>
          <w:p w14:paraId="607CFEE2">
            <w:pPr>
              <w:jc w:val="center"/>
              <w:rPr>
                <w:rFonts w:hint="eastAsia" w:ascii="仿宋_GB2312" w:hAnsi="Calibri" w:eastAsia="仿宋_GB2312" w:cs="Calibri"/>
                <w:sz w:val="24"/>
              </w:rPr>
            </w:pPr>
            <w:r>
              <w:rPr>
                <w:rFonts w:hint="eastAsia" w:ascii="仿宋_GB2312" w:hAnsi="Calibri" w:eastAsia="仿宋_GB2312" w:cs="Calibri"/>
                <w:sz w:val="24"/>
              </w:rPr>
              <w:t>高级工程师</w:t>
            </w:r>
          </w:p>
        </w:tc>
        <w:tc>
          <w:tcPr>
            <w:tcW w:w="927" w:type="pct"/>
            <w:tcBorders>
              <w:top w:val="single" w:color="auto" w:sz="4" w:space="0"/>
              <w:left w:val="single" w:color="auto" w:sz="4" w:space="0"/>
              <w:bottom w:val="single" w:color="auto" w:sz="4" w:space="0"/>
              <w:right w:val="single" w:color="auto" w:sz="4" w:space="0"/>
            </w:tcBorders>
            <w:vAlign w:val="center"/>
          </w:tcPr>
          <w:p w14:paraId="364AFF84">
            <w:pPr>
              <w:jc w:val="center"/>
              <w:rPr>
                <w:rFonts w:hint="eastAsia" w:ascii="仿宋_GB2312" w:hAnsi="Calibri" w:eastAsia="仿宋_GB2312" w:cs="Calibri"/>
                <w:sz w:val="24"/>
              </w:rPr>
            </w:pPr>
            <w:r>
              <w:rPr>
                <w:rFonts w:hint="eastAsia" w:ascii="仿宋_GB2312" w:hAnsi="Calibri" w:eastAsia="仿宋_GB2312" w:cs="Calibri"/>
                <w:sz w:val="24"/>
              </w:rPr>
              <w:t>计算机应用技术</w:t>
            </w:r>
          </w:p>
        </w:tc>
        <w:tc>
          <w:tcPr>
            <w:tcW w:w="928" w:type="pct"/>
            <w:tcBorders>
              <w:top w:val="single" w:color="auto" w:sz="4" w:space="0"/>
              <w:left w:val="single" w:color="auto" w:sz="4" w:space="0"/>
              <w:bottom w:val="single" w:color="auto" w:sz="4" w:space="0"/>
              <w:right w:val="single" w:color="auto" w:sz="4" w:space="0"/>
            </w:tcBorders>
            <w:vAlign w:val="center"/>
          </w:tcPr>
          <w:p w14:paraId="76393581">
            <w:pPr>
              <w:jc w:val="center"/>
              <w:rPr>
                <w:rFonts w:hint="eastAsia" w:ascii="仿宋_GB2312" w:hAnsi="Calibri" w:eastAsia="仿宋_GB2312" w:cs="Calibri"/>
                <w:sz w:val="24"/>
              </w:rPr>
            </w:pPr>
            <w:r>
              <w:rPr>
                <w:rFonts w:hint="eastAsia" w:ascii="仿宋_GB2312" w:hAnsi="Calibri" w:eastAsia="仿宋_GB2312" w:cs="Calibri"/>
                <w:sz w:val="24"/>
              </w:rPr>
              <w:t>广西壮族自治区亚热带作物研究所</w:t>
            </w:r>
          </w:p>
        </w:tc>
        <w:tc>
          <w:tcPr>
            <w:tcW w:w="1771" w:type="pct"/>
            <w:tcBorders>
              <w:top w:val="single" w:color="auto" w:sz="4" w:space="0"/>
              <w:left w:val="single" w:color="auto" w:sz="4" w:space="0"/>
              <w:bottom w:val="single" w:color="auto" w:sz="4" w:space="0"/>
              <w:right w:val="single" w:color="auto" w:sz="4" w:space="0"/>
            </w:tcBorders>
            <w:vAlign w:val="center"/>
          </w:tcPr>
          <w:p w14:paraId="0BC68BCE">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参与标准文本及编制说明的编写。</w:t>
            </w:r>
          </w:p>
        </w:tc>
      </w:tr>
      <w:tr w14:paraId="291C0D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799101F0">
            <w:pPr>
              <w:jc w:val="center"/>
              <w:rPr>
                <w:rFonts w:hint="eastAsia" w:ascii="仿宋_GB2312" w:hAnsi="Calibri" w:eastAsia="仿宋_GB2312" w:cs="Calibri"/>
                <w:sz w:val="24"/>
              </w:rPr>
            </w:pPr>
            <w:r>
              <w:rPr>
                <w:rFonts w:hint="eastAsia" w:ascii="仿宋_GB2312" w:hAnsi="Calibri" w:eastAsia="仿宋_GB2312" w:cs="Calibri"/>
                <w:sz w:val="24"/>
              </w:rPr>
              <w:t>李敏</w:t>
            </w:r>
          </w:p>
        </w:tc>
        <w:tc>
          <w:tcPr>
            <w:tcW w:w="747" w:type="pct"/>
            <w:tcBorders>
              <w:top w:val="single" w:color="auto" w:sz="4" w:space="0"/>
              <w:left w:val="single" w:color="auto" w:sz="4" w:space="0"/>
              <w:bottom w:val="single" w:color="auto" w:sz="4" w:space="0"/>
              <w:right w:val="single" w:color="auto" w:sz="4" w:space="0"/>
            </w:tcBorders>
            <w:vAlign w:val="center"/>
          </w:tcPr>
          <w:p w14:paraId="4B0459EF">
            <w:pPr>
              <w:jc w:val="center"/>
              <w:rPr>
                <w:rFonts w:hint="eastAsia" w:ascii="仿宋_GB2312" w:hAnsi="Calibri" w:eastAsia="仿宋_GB2312" w:cs="Calibri"/>
                <w:sz w:val="24"/>
              </w:rPr>
            </w:pPr>
            <w:r>
              <w:rPr>
                <w:rFonts w:hint="eastAsia" w:ascii="仿宋_GB2312" w:hAnsi="Calibri" w:eastAsia="仿宋_GB2312" w:cs="Calibri"/>
                <w:sz w:val="24"/>
              </w:rPr>
              <w:t>助理研究员</w:t>
            </w:r>
          </w:p>
        </w:tc>
        <w:tc>
          <w:tcPr>
            <w:tcW w:w="927" w:type="pct"/>
            <w:tcBorders>
              <w:top w:val="single" w:color="auto" w:sz="4" w:space="0"/>
              <w:left w:val="single" w:color="auto" w:sz="4" w:space="0"/>
              <w:bottom w:val="single" w:color="auto" w:sz="4" w:space="0"/>
              <w:right w:val="single" w:color="auto" w:sz="4" w:space="0"/>
            </w:tcBorders>
            <w:vAlign w:val="center"/>
          </w:tcPr>
          <w:p w14:paraId="00FB0882">
            <w:pPr>
              <w:jc w:val="center"/>
              <w:rPr>
                <w:rFonts w:hint="eastAsia" w:ascii="仿宋_GB2312" w:hAnsi="Calibri" w:eastAsia="仿宋_GB2312" w:cs="Calibri"/>
                <w:sz w:val="24"/>
              </w:rPr>
            </w:pPr>
            <w:r>
              <w:rPr>
                <w:rFonts w:hint="eastAsia" w:ascii="仿宋_GB2312" w:hAnsi="Calibri" w:eastAsia="仿宋_GB2312" w:cs="Calibri"/>
                <w:sz w:val="24"/>
              </w:rPr>
              <w:t>计算机应用技术</w:t>
            </w:r>
          </w:p>
        </w:tc>
        <w:tc>
          <w:tcPr>
            <w:tcW w:w="928" w:type="pct"/>
            <w:tcBorders>
              <w:top w:val="single" w:color="auto" w:sz="4" w:space="0"/>
              <w:left w:val="single" w:color="auto" w:sz="4" w:space="0"/>
              <w:bottom w:val="single" w:color="auto" w:sz="4" w:space="0"/>
              <w:right w:val="single" w:color="auto" w:sz="4" w:space="0"/>
            </w:tcBorders>
            <w:vAlign w:val="center"/>
          </w:tcPr>
          <w:p w14:paraId="39821F2B">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广西壮族自治区农业科学院农业科技信息研究所</w:t>
            </w:r>
          </w:p>
        </w:tc>
        <w:tc>
          <w:tcPr>
            <w:tcW w:w="1771" w:type="pct"/>
            <w:tcBorders>
              <w:top w:val="single" w:color="auto" w:sz="4" w:space="0"/>
              <w:left w:val="single" w:color="auto" w:sz="4" w:space="0"/>
              <w:bottom w:val="single" w:color="auto" w:sz="4" w:space="0"/>
              <w:right w:val="single" w:color="auto" w:sz="4" w:space="0"/>
            </w:tcBorders>
            <w:vAlign w:val="center"/>
          </w:tcPr>
          <w:p w14:paraId="4FF29A73">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5CFF32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3437803E">
            <w:pPr>
              <w:jc w:val="center"/>
              <w:rPr>
                <w:rFonts w:hint="eastAsia" w:ascii="仿宋_GB2312" w:hAnsi="Calibri" w:eastAsia="仿宋_GB2312" w:cs="Calibri"/>
                <w:sz w:val="24"/>
              </w:rPr>
            </w:pPr>
            <w:r>
              <w:rPr>
                <w:rFonts w:hint="eastAsia" w:ascii="仿宋_GB2312" w:hAnsi="Calibri" w:eastAsia="仿宋_GB2312" w:cs="Calibri"/>
                <w:sz w:val="24"/>
              </w:rPr>
              <w:t>申</w:t>
            </w:r>
            <w:r>
              <w:rPr>
                <w:rFonts w:hint="eastAsia" w:ascii="微软雅黑" w:hAnsi="微软雅黑" w:eastAsia="微软雅黑" w:cs="微软雅黑"/>
                <w:sz w:val="24"/>
              </w:rPr>
              <w:t>垚</w:t>
            </w:r>
            <w:r>
              <w:rPr>
                <w:rFonts w:hint="eastAsia" w:ascii="仿宋_GB2312" w:hAnsi="仿宋_GB2312" w:eastAsia="仿宋_GB2312" w:cs="仿宋_GB2312"/>
                <w:sz w:val="24"/>
              </w:rPr>
              <w:t>阳</w:t>
            </w:r>
          </w:p>
        </w:tc>
        <w:tc>
          <w:tcPr>
            <w:tcW w:w="747" w:type="pct"/>
            <w:tcBorders>
              <w:top w:val="single" w:color="auto" w:sz="4" w:space="0"/>
              <w:left w:val="single" w:color="auto" w:sz="4" w:space="0"/>
              <w:bottom w:val="single" w:color="auto" w:sz="4" w:space="0"/>
              <w:right w:val="single" w:color="auto" w:sz="4" w:space="0"/>
            </w:tcBorders>
            <w:vAlign w:val="center"/>
          </w:tcPr>
          <w:p w14:paraId="503F9D9E">
            <w:pPr>
              <w:jc w:val="center"/>
              <w:rPr>
                <w:rFonts w:hint="eastAsia" w:ascii="仿宋_GB2312" w:hAnsi="Calibri" w:eastAsia="仿宋_GB2312" w:cs="Calibri"/>
                <w:sz w:val="24"/>
              </w:rPr>
            </w:pPr>
            <w:r>
              <w:rPr>
                <w:rFonts w:hint="eastAsia" w:ascii="仿宋_GB2312" w:hAnsi="Calibri" w:eastAsia="仿宋_GB2312" w:cs="Calibri"/>
                <w:sz w:val="24"/>
              </w:rPr>
              <w:t>助理研究员</w:t>
            </w:r>
          </w:p>
        </w:tc>
        <w:tc>
          <w:tcPr>
            <w:tcW w:w="927" w:type="pct"/>
            <w:tcBorders>
              <w:top w:val="single" w:color="auto" w:sz="4" w:space="0"/>
              <w:left w:val="single" w:color="auto" w:sz="4" w:space="0"/>
              <w:bottom w:val="single" w:color="auto" w:sz="4" w:space="0"/>
              <w:right w:val="single" w:color="auto" w:sz="4" w:space="0"/>
            </w:tcBorders>
            <w:vAlign w:val="center"/>
          </w:tcPr>
          <w:p w14:paraId="338EA119">
            <w:pPr>
              <w:jc w:val="center"/>
              <w:rPr>
                <w:rFonts w:hint="eastAsia" w:ascii="仿宋_GB2312" w:hAnsi="Calibri" w:eastAsia="仿宋_GB2312" w:cs="Calibri"/>
                <w:sz w:val="24"/>
              </w:rPr>
            </w:pPr>
            <w:r>
              <w:rPr>
                <w:rFonts w:hint="eastAsia" w:ascii="仿宋_GB2312" w:hAnsi="Calibri" w:eastAsia="仿宋_GB2312" w:cs="Calibri"/>
                <w:sz w:val="24"/>
              </w:rPr>
              <w:t>农业经济管理</w:t>
            </w:r>
          </w:p>
        </w:tc>
        <w:tc>
          <w:tcPr>
            <w:tcW w:w="928" w:type="pct"/>
            <w:tcBorders>
              <w:top w:val="single" w:color="auto" w:sz="4" w:space="0"/>
              <w:left w:val="single" w:color="auto" w:sz="4" w:space="0"/>
              <w:bottom w:val="single" w:color="auto" w:sz="4" w:space="0"/>
              <w:right w:val="single" w:color="auto" w:sz="4" w:space="0"/>
            </w:tcBorders>
            <w:vAlign w:val="center"/>
          </w:tcPr>
          <w:p w14:paraId="01C708BD">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广西壮族自治区农业科学院农业科技信息研究所</w:t>
            </w:r>
          </w:p>
        </w:tc>
        <w:tc>
          <w:tcPr>
            <w:tcW w:w="1771" w:type="pct"/>
            <w:tcBorders>
              <w:top w:val="single" w:color="auto" w:sz="4" w:space="0"/>
              <w:left w:val="single" w:color="auto" w:sz="4" w:space="0"/>
              <w:bottom w:val="single" w:color="auto" w:sz="4" w:space="0"/>
              <w:right w:val="single" w:color="auto" w:sz="4" w:space="0"/>
            </w:tcBorders>
            <w:vAlign w:val="center"/>
          </w:tcPr>
          <w:p w14:paraId="4BA6E72B">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3AD563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453DFC87">
            <w:pPr>
              <w:jc w:val="center"/>
              <w:rPr>
                <w:rFonts w:hint="eastAsia" w:ascii="仿宋_GB2312" w:hAnsi="Calibri" w:eastAsia="仿宋_GB2312" w:cs="Calibri"/>
                <w:sz w:val="24"/>
              </w:rPr>
            </w:pPr>
            <w:r>
              <w:rPr>
                <w:rFonts w:hint="eastAsia" w:ascii="仿宋_GB2312" w:hAnsi="Calibri" w:eastAsia="仿宋_GB2312" w:cs="Calibri"/>
                <w:sz w:val="24"/>
              </w:rPr>
              <w:t>吴广丽</w:t>
            </w:r>
          </w:p>
        </w:tc>
        <w:tc>
          <w:tcPr>
            <w:tcW w:w="747" w:type="pct"/>
            <w:tcBorders>
              <w:top w:val="single" w:color="auto" w:sz="4" w:space="0"/>
              <w:left w:val="single" w:color="auto" w:sz="4" w:space="0"/>
              <w:bottom w:val="single" w:color="auto" w:sz="4" w:space="0"/>
              <w:right w:val="single" w:color="auto" w:sz="4" w:space="0"/>
            </w:tcBorders>
            <w:vAlign w:val="center"/>
          </w:tcPr>
          <w:p w14:paraId="760D8FB8">
            <w:pPr>
              <w:jc w:val="center"/>
              <w:rPr>
                <w:rFonts w:hint="eastAsia" w:ascii="仿宋_GB2312" w:hAnsi="Calibri" w:eastAsia="仿宋_GB2312" w:cs="Calibri"/>
                <w:sz w:val="24"/>
              </w:rPr>
            </w:pPr>
            <w:r>
              <w:rPr>
                <w:rFonts w:hint="eastAsia" w:ascii="仿宋_GB2312" w:hAnsi="Calibri" w:eastAsia="仿宋_GB2312" w:cs="Calibri"/>
                <w:sz w:val="24"/>
              </w:rPr>
              <w:t>助理研究员</w:t>
            </w:r>
          </w:p>
        </w:tc>
        <w:tc>
          <w:tcPr>
            <w:tcW w:w="927" w:type="pct"/>
            <w:tcBorders>
              <w:top w:val="single" w:color="auto" w:sz="4" w:space="0"/>
              <w:left w:val="single" w:color="auto" w:sz="4" w:space="0"/>
              <w:bottom w:val="single" w:color="auto" w:sz="4" w:space="0"/>
              <w:right w:val="single" w:color="auto" w:sz="4" w:space="0"/>
            </w:tcBorders>
            <w:vAlign w:val="center"/>
          </w:tcPr>
          <w:p w14:paraId="014F8D65">
            <w:pPr>
              <w:jc w:val="center"/>
              <w:rPr>
                <w:rFonts w:hint="eastAsia" w:ascii="仿宋_GB2312" w:hAnsi="Calibri" w:eastAsia="仿宋_GB2312" w:cs="Calibri"/>
                <w:sz w:val="24"/>
              </w:rPr>
            </w:pPr>
            <w:r>
              <w:rPr>
                <w:rFonts w:hint="eastAsia" w:ascii="仿宋_GB2312" w:hAnsi="Calibri" w:eastAsia="仿宋_GB2312" w:cs="Calibri"/>
                <w:sz w:val="24"/>
              </w:rPr>
              <w:t>农业经济管理</w:t>
            </w:r>
          </w:p>
        </w:tc>
        <w:tc>
          <w:tcPr>
            <w:tcW w:w="928" w:type="pct"/>
            <w:tcBorders>
              <w:top w:val="single" w:color="auto" w:sz="4" w:space="0"/>
              <w:left w:val="single" w:color="auto" w:sz="4" w:space="0"/>
              <w:bottom w:val="single" w:color="auto" w:sz="4" w:space="0"/>
              <w:right w:val="single" w:color="auto" w:sz="4" w:space="0"/>
            </w:tcBorders>
            <w:vAlign w:val="center"/>
          </w:tcPr>
          <w:p w14:paraId="63EFFF6E">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广西壮族自治区农业科学院农业科技信息研究所</w:t>
            </w:r>
          </w:p>
        </w:tc>
        <w:tc>
          <w:tcPr>
            <w:tcW w:w="1771" w:type="pct"/>
            <w:tcBorders>
              <w:top w:val="single" w:color="auto" w:sz="4" w:space="0"/>
              <w:left w:val="single" w:color="auto" w:sz="4" w:space="0"/>
              <w:bottom w:val="single" w:color="auto" w:sz="4" w:space="0"/>
              <w:right w:val="single" w:color="auto" w:sz="4" w:space="0"/>
            </w:tcBorders>
            <w:vAlign w:val="center"/>
          </w:tcPr>
          <w:p w14:paraId="09271175">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62F5EC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27462113">
            <w:pPr>
              <w:jc w:val="center"/>
              <w:rPr>
                <w:rFonts w:hint="eastAsia" w:ascii="仿宋_GB2312" w:hAnsi="Calibri" w:eastAsia="仿宋_GB2312" w:cs="Calibri"/>
                <w:sz w:val="24"/>
              </w:rPr>
            </w:pPr>
            <w:r>
              <w:rPr>
                <w:rFonts w:hint="eastAsia" w:ascii="仿宋_GB2312" w:hAnsi="Calibri" w:eastAsia="仿宋_GB2312" w:cs="Calibri"/>
                <w:sz w:val="24"/>
              </w:rPr>
              <w:t>阮晓静</w:t>
            </w:r>
          </w:p>
        </w:tc>
        <w:tc>
          <w:tcPr>
            <w:tcW w:w="747" w:type="pct"/>
            <w:tcBorders>
              <w:top w:val="single" w:color="auto" w:sz="4" w:space="0"/>
              <w:left w:val="single" w:color="auto" w:sz="4" w:space="0"/>
              <w:bottom w:val="single" w:color="auto" w:sz="4" w:space="0"/>
              <w:right w:val="single" w:color="auto" w:sz="4" w:space="0"/>
            </w:tcBorders>
            <w:vAlign w:val="center"/>
          </w:tcPr>
          <w:p w14:paraId="486F9B96">
            <w:pPr>
              <w:jc w:val="center"/>
              <w:rPr>
                <w:rFonts w:hint="eastAsia" w:ascii="仿宋_GB2312" w:hAnsi="Calibri" w:eastAsia="仿宋_GB2312" w:cs="Calibri"/>
                <w:sz w:val="24"/>
              </w:rPr>
            </w:pPr>
            <w:r>
              <w:rPr>
                <w:rFonts w:hint="eastAsia" w:ascii="仿宋_GB2312" w:hAnsi="Calibri" w:eastAsia="仿宋_GB2312" w:cs="Calibri"/>
                <w:sz w:val="24"/>
              </w:rPr>
              <w:t>助理研究员</w:t>
            </w:r>
          </w:p>
        </w:tc>
        <w:tc>
          <w:tcPr>
            <w:tcW w:w="927" w:type="pct"/>
            <w:tcBorders>
              <w:top w:val="single" w:color="auto" w:sz="4" w:space="0"/>
              <w:left w:val="single" w:color="auto" w:sz="4" w:space="0"/>
              <w:bottom w:val="single" w:color="auto" w:sz="4" w:space="0"/>
              <w:right w:val="single" w:color="auto" w:sz="4" w:space="0"/>
            </w:tcBorders>
            <w:vAlign w:val="center"/>
          </w:tcPr>
          <w:p w14:paraId="7CB0A07B">
            <w:pPr>
              <w:jc w:val="center"/>
              <w:rPr>
                <w:rFonts w:hint="eastAsia" w:ascii="仿宋_GB2312" w:hAnsi="Calibri" w:eastAsia="仿宋_GB2312" w:cs="Calibri"/>
                <w:sz w:val="24"/>
              </w:rPr>
            </w:pPr>
            <w:r>
              <w:rPr>
                <w:rFonts w:hint="eastAsia" w:ascii="仿宋_GB2312" w:hAnsi="Calibri" w:eastAsia="仿宋_GB2312" w:cs="Calibri"/>
                <w:sz w:val="24"/>
              </w:rPr>
              <w:t>农业经济管理</w:t>
            </w:r>
          </w:p>
        </w:tc>
        <w:tc>
          <w:tcPr>
            <w:tcW w:w="928" w:type="pct"/>
            <w:tcBorders>
              <w:top w:val="single" w:color="auto" w:sz="4" w:space="0"/>
              <w:left w:val="single" w:color="auto" w:sz="4" w:space="0"/>
              <w:bottom w:val="single" w:color="auto" w:sz="4" w:space="0"/>
              <w:right w:val="single" w:color="auto" w:sz="4" w:space="0"/>
            </w:tcBorders>
            <w:vAlign w:val="center"/>
          </w:tcPr>
          <w:p w14:paraId="1F098A78">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广西壮族自治区农业科学院农业科技信息研究所</w:t>
            </w:r>
          </w:p>
        </w:tc>
        <w:tc>
          <w:tcPr>
            <w:tcW w:w="1771" w:type="pct"/>
            <w:tcBorders>
              <w:top w:val="single" w:color="auto" w:sz="4" w:space="0"/>
              <w:left w:val="single" w:color="auto" w:sz="4" w:space="0"/>
              <w:bottom w:val="single" w:color="auto" w:sz="4" w:space="0"/>
              <w:right w:val="single" w:color="auto" w:sz="4" w:space="0"/>
            </w:tcBorders>
            <w:vAlign w:val="center"/>
          </w:tcPr>
          <w:p w14:paraId="4C11D3C4">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101F33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0F80E213">
            <w:pPr>
              <w:jc w:val="center"/>
              <w:rPr>
                <w:rFonts w:hint="eastAsia" w:ascii="仿宋_GB2312" w:hAnsi="Calibri" w:eastAsia="仿宋_GB2312" w:cs="Calibri"/>
                <w:sz w:val="24"/>
              </w:rPr>
            </w:pPr>
            <w:r>
              <w:rPr>
                <w:rFonts w:hint="eastAsia" w:ascii="仿宋_GB2312" w:hAnsi="Calibri" w:eastAsia="仿宋_GB2312" w:cs="Calibri"/>
                <w:sz w:val="24"/>
              </w:rPr>
              <w:t>陈贺</w:t>
            </w:r>
          </w:p>
        </w:tc>
        <w:tc>
          <w:tcPr>
            <w:tcW w:w="747" w:type="pct"/>
            <w:tcBorders>
              <w:top w:val="single" w:color="auto" w:sz="4" w:space="0"/>
              <w:left w:val="single" w:color="auto" w:sz="4" w:space="0"/>
              <w:bottom w:val="single" w:color="auto" w:sz="4" w:space="0"/>
              <w:right w:val="single" w:color="auto" w:sz="4" w:space="0"/>
            </w:tcBorders>
            <w:vAlign w:val="center"/>
          </w:tcPr>
          <w:p w14:paraId="5E6DA840">
            <w:pPr>
              <w:jc w:val="center"/>
              <w:rPr>
                <w:rFonts w:hint="eastAsia" w:ascii="仿宋_GB2312" w:hAnsi="Calibri" w:eastAsia="仿宋_GB2312" w:cs="Calibri"/>
                <w:sz w:val="24"/>
              </w:rPr>
            </w:pPr>
            <w:r>
              <w:rPr>
                <w:rFonts w:hint="eastAsia" w:ascii="仿宋_GB2312" w:hAnsi="Calibri" w:eastAsia="仿宋_GB2312" w:cs="Calibri"/>
                <w:sz w:val="24"/>
              </w:rPr>
              <w:t>实习研究员</w:t>
            </w:r>
          </w:p>
        </w:tc>
        <w:tc>
          <w:tcPr>
            <w:tcW w:w="927" w:type="pct"/>
            <w:tcBorders>
              <w:top w:val="single" w:color="auto" w:sz="4" w:space="0"/>
              <w:left w:val="single" w:color="auto" w:sz="4" w:space="0"/>
              <w:bottom w:val="single" w:color="auto" w:sz="4" w:space="0"/>
              <w:right w:val="single" w:color="auto" w:sz="4" w:space="0"/>
            </w:tcBorders>
            <w:vAlign w:val="center"/>
          </w:tcPr>
          <w:p w14:paraId="2FDC85AE">
            <w:pPr>
              <w:jc w:val="center"/>
              <w:rPr>
                <w:rFonts w:hint="eastAsia" w:ascii="仿宋_GB2312" w:hAnsi="Calibri" w:eastAsia="仿宋_GB2312" w:cs="Calibri"/>
                <w:sz w:val="24"/>
              </w:rPr>
            </w:pPr>
            <w:r>
              <w:rPr>
                <w:rFonts w:hint="eastAsia" w:ascii="仿宋_GB2312" w:hAnsi="Calibri" w:eastAsia="仿宋_GB2312" w:cs="Calibri"/>
                <w:sz w:val="24"/>
              </w:rPr>
              <w:t>计算机应用技术</w:t>
            </w:r>
          </w:p>
        </w:tc>
        <w:tc>
          <w:tcPr>
            <w:tcW w:w="928" w:type="pct"/>
            <w:tcBorders>
              <w:top w:val="single" w:color="auto" w:sz="4" w:space="0"/>
              <w:left w:val="single" w:color="auto" w:sz="4" w:space="0"/>
              <w:bottom w:val="single" w:color="auto" w:sz="4" w:space="0"/>
              <w:right w:val="single" w:color="auto" w:sz="4" w:space="0"/>
            </w:tcBorders>
            <w:vAlign w:val="center"/>
          </w:tcPr>
          <w:p w14:paraId="3A01234D">
            <w:pPr>
              <w:jc w:val="center"/>
              <w:rPr>
                <w:rFonts w:hint="eastAsia" w:ascii="仿宋_GB2312" w:hAnsi="Calibri" w:eastAsia="仿宋_GB2312" w:cs="Calibri"/>
                <w:sz w:val="24"/>
              </w:rPr>
            </w:pPr>
            <w:r>
              <w:rPr>
                <w:rFonts w:hint="eastAsia" w:ascii="仿宋_GB2312" w:hAnsi="Calibri" w:eastAsia="仿宋_GB2312" w:cs="Calibri"/>
                <w:sz w:val="24"/>
              </w:rPr>
              <w:t>广西壮族自治区农业科学院农业科技信息研究所</w:t>
            </w:r>
          </w:p>
        </w:tc>
        <w:tc>
          <w:tcPr>
            <w:tcW w:w="1771" w:type="pct"/>
            <w:tcBorders>
              <w:top w:val="single" w:color="auto" w:sz="4" w:space="0"/>
              <w:left w:val="single" w:color="auto" w:sz="4" w:space="0"/>
              <w:bottom w:val="single" w:color="auto" w:sz="4" w:space="0"/>
              <w:right w:val="single" w:color="auto" w:sz="4" w:space="0"/>
            </w:tcBorders>
            <w:vAlign w:val="center"/>
          </w:tcPr>
          <w:p w14:paraId="58B41890">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21264C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17F8C178">
            <w:pPr>
              <w:jc w:val="center"/>
              <w:rPr>
                <w:rFonts w:hint="eastAsia" w:ascii="仿宋_GB2312" w:hAnsi="Calibri" w:eastAsia="仿宋_GB2312" w:cs="Calibri"/>
                <w:sz w:val="24"/>
              </w:rPr>
            </w:pPr>
            <w:r>
              <w:rPr>
                <w:rFonts w:hint="eastAsia" w:ascii="仿宋_GB2312" w:hAnsi="Calibri" w:eastAsia="仿宋_GB2312" w:cs="Calibri"/>
                <w:sz w:val="24"/>
              </w:rPr>
              <w:t>江万里</w:t>
            </w:r>
          </w:p>
        </w:tc>
        <w:tc>
          <w:tcPr>
            <w:tcW w:w="747" w:type="pct"/>
            <w:tcBorders>
              <w:top w:val="single" w:color="auto" w:sz="4" w:space="0"/>
              <w:left w:val="single" w:color="auto" w:sz="4" w:space="0"/>
              <w:bottom w:val="single" w:color="auto" w:sz="4" w:space="0"/>
              <w:right w:val="single" w:color="auto" w:sz="4" w:space="0"/>
            </w:tcBorders>
            <w:vAlign w:val="center"/>
          </w:tcPr>
          <w:p w14:paraId="3D22DB95">
            <w:pPr>
              <w:jc w:val="center"/>
              <w:rPr>
                <w:rFonts w:hint="eastAsia" w:ascii="仿宋_GB2312" w:hAnsi="Calibri" w:eastAsia="仿宋_GB2312" w:cs="Calibri"/>
                <w:sz w:val="24"/>
              </w:rPr>
            </w:pPr>
            <w:r>
              <w:rPr>
                <w:rFonts w:hint="eastAsia" w:ascii="仿宋_GB2312" w:hAnsi="Calibri" w:eastAsia="仿宋_GB2312" w:cs="Calibri"/>
                <w:sz w:val="24"/>
              </w:rPr>
              <w:t>工程师</w:t>
            </w:r>
          </w:p>
        </w:tc>
        <w:tc>
          <w:tcPr>
            <w:tcW w:w="927" w:type="pct"/>
            <w:tcBorders>
              <w:top w:val="single" w:color="auto" w:sz="4" w:space="0"/>
              <w:left w:val="single" w:color="auto" w:sz="4" w:space="0"/>
              <w:bottom w:val="single" w:color="auto" w:sz="4" w:space="0"/>
              <w:right w:val="single" w:color="auto" w:sz="4" w:space="0"/>
            </w:tcBorders>
            <w:vAlign w:val="center"/>
          </w:tcPr>
          <w:p w14:paraId="7D4EA570">
            <w:pPr>
              <w:jc w:val="center"/>
              <w:rPr>
                <w:rFonts w:hint="eastAsia" w:ascii="仿宋_GB2312" w:hAnsi="Calibri" w:eastAsia="仿宋_GB2312" w:cs="Calibri"/>
                <w:sz w:val="24"/>
              </w:rPr>
            </w:pPr>
            <w:r>
              <w:rPr>
                <w:rFonts w:hint="eastAsia" w:ascii="仿宋_GB2312" w:hAnsi="Calibri" w:eastAsia="仿宋_GB2312" w:cs="Calibri"/>
                <w:sz w:val="24"/>
              </w:rPr>
              <w:t>计算机应用技术</w:t>
            </w:r>
          </w:p>
        </w:tc>
        <w:tc>
          <w:tcPr>
            <w:tcW w:w="928" w:type="pct"/>
            <w:tcBorders>
              <w:top w:val="single" w:color="auto" w:sz="4" w:space="0"/>
              <w:left w:val="single" w:color="auto" w:sz="4" w:space="0"/>
              <w:bottom w:val="single" w:color="auto" w:sz="4" w:space="0"/>
              <w:right w:val="single" w:color="auto" w:sz="4" w:space="0"/>
            </w:tcBorders>
            <w:vAlign w:val="center"/>
          </w:tcPr>
          <w:p w14:paraId="4D2DB060">
            <w:pPr>
              <w:jc w:val="center"/>
              <w:rPr>
                <w:rFonts w:hint="eastAsia" w:ascii="仿宋_GB2312" w:hAnsi="Calibri" w:eastAsia="仿宋_GB2312" w:cs="Calibri"/>
                <w:sz w:val="24"/>
              </w:rPr>
            </w:pPr>
            <w:r>
              <w:rPr>
                <w:rFonts w:hint="eastAsia" w:ascii="仿宋_GB2312" w:hAnsi="Calibri" w:eastAsia="仿宋_GB2312" w:cs="Calibri"/>
                <w:sz w:val="24"/>
              </w:rPr>
              <w:t>广西春之蓝农业科技有限公司</w:t>
            </w:r>
          </w:p>
        </w:tc>
        <w:tc>
          <w:tcPr>
            <w:tcW w:w="1771" w:type="pct"/>
            <w:tcBorders>
              <w:top w:val="single" w:color="auto" w:sz="4" w:space="0"/>
              <w:left w:val="single" w:color="auto" w:sz="4" w:space="0"/>
              <w:bottom w:val="single" w:color="auto" w:sz="4" w:space="0"/>
              <w:right w:val="single" w:color="auto" w:sz="4" w:space="0"/>
            </w:tcBorders>
            <w:vAlign w:val="center"/>
          </w:tcPr>
          <w:p w14:paraId="6CD421EC">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r w14:paraId="439F92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625" w:type="pct"/>
            <w:tcBorders>
              <w:top w:val="single" w:color="auto" w:sz="4" w:space="0"/>
              <w:left w:val="single" w:color="auto" w:sz="4" w:space="0"/>
              <w:bottom w:val="single" w:color="auto" w:sz="4" w:space="0"/>
              <w:right w:val="single" w:color="auto" w:sz="4" w:space="0"/>
            </w:tcBorders>
            <w:vAlign w:val="center"/>
          </w:tcPr>
          <w:p w14:paraId="555C3373">
            <w:pPr>
              <w:jc w:val="center"/>
              <w:rPr>
                <w:rFonts w:hint="eastAsia" w:ascii="仿宋_GB2312" w:hAnsi="Calibri" w:eastAsia="仿宋_GB2312" w:cs="Calibri"/>
                <w:sz w:val="24"/>
              </w:rPr>
            </w:pPr>
            <w:r>
              <w:rPr>
                <w:rFonts w:hint="eastAsia" w:ascii="仿宋_GB2312" w:hAnsi="Calibri" w:eastAsia="仿宋_GB2312" w:cs="Calibri"/>
                <w:sz w:val="24"/>
              </w:rPr>
              <w:t>潘亚娟</w:t>
            </w:r>
          </w:p>
        </w:tc>
        <w:tc>
          <w:tcPr>
            <w:tcW w:w="747" w:type="pct"/>
            <w:tcBorders>
              <w:top w:val="single" w:color="auto" w:sz="4" w:space="0"/>
              <w:left w:val="single" w:color="auto" w:sz="4" w:space="0"/>
              <w:bottom w:val="single" w:color="auto" w:sz="4" w:space="0"/>
              <w:right w:val="single" w:color="auto" w:sz="4" w:space="0"/>
            </w:tcBorders>
            <w:vAlign w:val="center"/>
          </w:tcPr>
          <w:p w14:paraId="4D2EB5B8">
            <w:pPr>
              <w:jc w:val="center"/>
              <w:rPr>
                <w:rFonts w:hint="eastAsia" w:ascii="仿宋_GB2312" w:hAnsi="Calibri" w:eastAsia="仿宋_GB2312" w:cs="Calibri"/>
                <w:sz w:val="24"/>
              </w:rPr>
            </w:pPr>
            <w:r>
              <w:rPr>
                <w:rFonts w:hint="eastAsia" w:ascii="仿宋_GB2312" w:hAnsi="Calibri" w:eastAsia="仿宋_GB2312" w:cs="Calibri"/>
                <w:sz w:val="24"/>
              </w:rPr>
              <w:t>工程师</w:t>
            </w:r>
          </w:p>
        </w:tc>
        <w:tc>
          <w:tcPr>
            <w:tcW w:w="927" w:type="pct"/>
            <w:tcBorders>
              <w:top w:val="single" w:color="auto" w:sz="4" w:space="0"/>
              <w:left w:val="single" w:color="auto" w:sz="4" w:space="0"/>
              <w:bottom w:val="single" w:color="auto" w:sz="4" w:space="0"/>
              <w:right w:val="single" w:color="auto" w:sz="4" w:space="0"/>
            </w:tcBorders>
            <w:vAlign w:val="center"/>
          </w:tcPr>
          <w:p w14:paraId="13FE1FC0">
            <w:pPr>
              <w:jc w:val="center"/>
              <w:rPr>
                <w:rFonts w:hint="eastAsia" w:ascii="仿宋_GB2312" w:hAnsi="Calibri" w:eastAsia="仿宋_GB2312" w:cs="Calibri"/>
                <w:sz w:val="24"/>
              </w:rPr>
            </w:pPr>
            <w:r>
              <w:rPr>
                <w:rFonts w:hint="eastAsia" w:ascii="仿宋_GB2312" w:hAnsi="Calibri" w:eastAsia="仿宋_GB2312" w:cs="Calibri"/>
                <w:sz w:val="24"/>
              </w:rPr>
              <w:t>计算机应用技术</w:t>
            </w:r>
          </w:p>
        </w:tc>
        <w:tc>
          <w:tcPr>
            <w:tcW w:w="928" w:type="pct"/>
            <w:tcBorders>
              <w:top w:val="single" w:color="auto" w:sz="4" w:space="0"/>
              <w:left w:val="single" w:color="auto" w:sz="4" w:space="0"/>
              <w:bottom w:val="single" w:color="auto" w:sz="4" w:space="0"/>
              <w:right w:val="single" w:color="auto" w:sz="4" w:space="0"/>
            </w:tcBorders>
            <w:vAlign w:val="center"/>
          </w:tcPr>
          <w:p w14:paraId="1714BC4E">
            <w:pPr>
              <w:jc w:val="center"/>
              <w:rPr>
                <w:rFonts w:hint="eastAsia" w:ascii="仿宋_GB2312" w:hAnsi="Calibri" w:eastAsia="仿宋_GB2312" w:cs="Calibri"/>
                <w:sz w:val="24"/>
              </w:rPr>
            </w:pPr>
            <w:r>
              <w:rPr>
                <w:rFonts w:hint="eastAsia" w:ascii="仿宋_GB2312" w:hAnsi="Calibri" w:eastAsia="仿宋_GB2312" w:cs="Calibri"/>
                <w:sz w:val="24"/>
              </w:rPr>
              <w:t>广西金点子信息科技有限公司</w:t>
            </w:r>
          </w:p>
        </w:tc>
        <w:tc>
          <w:tcPr>
            <w:tcW w:w="1771" w:type="pct"/>
            <w:tcBorders>
              <w:top w:val="single" w:color="auto" w:sz="4" w:space="0"/>
              <w:left w:val="single" w:color="auto" w:sz="4" w:space="0"/>
              <w:bottom w:val="single" w:color="auto" w:sz="4" w:space="0"/>
              <w:right w:val="single" w:color="auto" w:sz="4" w:space="0"/>
            </w:tcBorders>
            <w:vAlign w:val="center"/>
          </w:tcPr>
          <w:p w14:paraId="1188AE9E">
            <w:pPr>
              <w:jc w:val="left"/>
              <w:rPr>
                <w:rFonts w:hint="eastAsia" w:ascii="仿宋_GB2312" w:hAnsi="Calibri" w:eastAsia="仿宋_GB2312" w:cs="Calibri"/>
                <w:sz w:val="24"/>
              </w:rPr>
            </w:pPr>
            <w:r>
              <w:rPr>
                <w:rFonts w:hint="eastAsia" w:ascii="仿宋_GB2312" w:hAnsi="Calibri" w:eastAsia="仿宋_GB2312" w:cs="Calibri"/>
                <w:sz w:val="24"/>
              </w:rPr>
              <w:t>参与标准文本及编制说明编写，质量控制。</w:t>
            </w:r>
          </w:p>
        </w:tc>
      </w:tr>
    </w:tbl>
    <w:p w14:paraId="7F94622A">
      <w:pPr>
        <w:ind w:firstLine="640" w:firstLineChars="200"/>
        <w:rPr>
          <w:rFonts w:hint="eastAsia" w:ascii="仿宋_GB2312" w:hAnsi="宋体" w:eastAsia="仿宋_GB2312"/>
          <w:sz w:val="32"/>
          <w:szCs w:val="28"/>
        </w:rPr>
      </w:pPr>
    </w:p>
    <w:p w14:paraId="6BE1CEB3">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二、制定标准的必要性和意义</w:t>
      </w:r>
    </w:p>
    <w:p w14:paraId="4A70E060">
      <w:pPr>
        <w:autoSpaceDE w:val="0"/>
        <w:autoSpaceDN w:val="0"/>
        <w:adjustRightInd w:val="0"/>
        <w:spacing w:before="156" w:beforeLines="50" w:after="156" w:afterLines="50" w:line="560" w:lineRule="exact"/>
        <w:ind w:firstLine="640" w:firstLineChars="200"/>
        <w:rPr>
          <w:rFonts w:hint="eastAsia" w:ascii="仿宋_GB2312" w:hAnsi="宋体" w:eastAsia="仿宋_GB2312"/>
          <w:sz w:val="32"/>
          <w:szCs w:val="28"/>
        </w:rPr>
      </w:pPr>
      <w:r>
        <w:rPr>
          <w:rFonts w:hint="eastAsia" w:ascii="仿宋_GB2312" w:hAnsi="宋体" w:eastAsia="仿宋_GB2312"/>
          <w:sz w:val="32"/>
          <w:szCs w:val="28"/>
        </w:rPr>
        <w:t>甘蔗种质资源广义上是指所有能够利用于甘蔗杂交育种中的植物遗传资源，包括甘蔗属及其近缘属种，如，甘蔗复合体中的蔗茅（E. rufipilus）、斑茅（T. arundinaceum）、滇蔗茅（E. rockii）、芒（M. sinensis）、河八王（N. porphyrocoma）等植物。甘蔗种质资源狭义上通常是指甘蔗属内的物种，包括野生种（割手密和大茎野生种）、古老栽培种（中国种和印度种）、现代栽培种、热带种和杂交中间材料等在内的所有可利用的甘蔗遗传资源。当前种植的甘蔗品种均为热带种和商业栽培品种。优异品种对甘蔗增加产量和增加糖分的贡献率可达30%，由于长期育种限制于骨干亲本之间的杂交，所导致的遗传基础狭窄阻碍了甘蔗育种的发展。同时现在的主栽品种逐渐出现品种优势退化，受到病原菌和环境因素的影响很大，导致生物量和蔗糖产量都有所下降。为了能够扩宽甘蔗的遗传资源，引入优势基因，培育甘蔗良种，各个国家和地区都十分重视对甘蔗种质资源的收集、保存、研究和利用。</w:t>
      </w:r>
    </w:p>
    <w:p w14:paraId="675C9179">
      <w:pPr>
        <w:autoSpaceDE w:val="0"/>
        <w:autoSpaceDN w:val="0"/>
        <w:adjustRightInd w:val="0"/>
        <w:spacing w:before="156" w:beforeLines="50" w:after="156" w:afterLines="50" w:line="560" w:lineRule="exact"/>
        <w:ind w:firstLine="640" w:firstLineChars="200"/>
        <w:rPr>
          <w:rFonts w:hint="eastAsia" w:ascii="仿宋_GB2312" w:hAnsi="宋体" w:eastAsia="仿宋_GB2312"/>
          <w:sz w:val="32"/>
          <w:szCs w:val="28"/>
        </w:rPr>
      </w:pPr>
      <w:r>
        <w:rPr>
          <w:rFonts w:hint="eastAsia" w:ascii="仿宋_GB2312" w:hAnsi="宋体" w:eastAsia="仿宋_GB2312"/>
          <w:sz w:val="32"/>
          <w:szCs w:val="28"/>
        </w:rPr>
        <w:t>甘蔗作为一种重要的经济作物，在广西地区具有广泛种植和重要经济价值。建立种质资源信息共享平台，有助于整合广西地区各个单位和个人的甘蔗种质资源信息，促进资源共享和互通。这对于提高广西甘蔗种植业的整体发展水平具有积极意义。其次，建立种质资源信息共享平台可以促进种质资源的有效利用和保护。通过平台的建立，可以更好地管理和保存广西地区丰富的甘蔗种质资源，减少资源的重复建设和浪费，提高资源利用效率。同时，通过信息共享平台，可以更好地保护和传承优质种质资源，确保广西地区甘蔗品种的多样性和遗传多样性。此外，建立种质资源信息共享平台对于推动科研与产业发展具有重要意义。科研单位和企业可以通过平台获取到广西甘蔗种质资源的最新信息，从而开展更深入的研究和开发工作，推动甘蔗产业的创新与发展。种质资源信息共享平台还有助于促进合作交流，搭建起科研人员、生产者和政府部门之间的桥梁，推动产学研用结合，促进甘蔗产业的可持续发展。</w:t>
      </w:r>
    </w:p>
    <w:p w14:paraId="7A493052">
      <w:pPr>
        <w:autoSpaceDE w:val="0"/>
        <w:autoSpaceDN w:val="0"/>
        <w:adjustRightInd w:val="0"/>
        <w:spacing w:before="156" w:beforeLines="50" w:after="156" w:afterLines="50"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通过制定团体标准《甘蔗种质资源信息平台运行维护管理规范》，以标准为抓手，规范甘蔗种质资源信息平台运行维护管理要求，不仅有利于整合资源、提高利用效率，还能促进科研与产业发展，推动广西甘蔗产业的高质量、可持续发展。。</w:t>
      </w:r>
    </w:p>
    <w:p w14:paraId="64CFA7EF">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三、主要起草过程</w:t>
      </w:r>
    </w:p>
    <w:p w14:paraId="0D6A5644">
      <w:pPr>
        <w:spacing w:before="156" w:beforeLines="50" w:after="156" w:afterLines="50" w:line="560" w:lineRule="exact"/>
        <w:ind w:firstLine="643" w:firstLineChars="200"/>
        <w:rPr>
          <w:rFonts w:ascii="楷体" w:hAnsi="楷体" w:eastAsia="楷体"/>
          <w:sz w:val="32"/>
          <w:szCs w:val="28"/>
        </w:rPr>
      </w:pPr>
      <w:r>
        <w:rPr>
          <w:rFonts w:hint="eastAsia" w:ascii="楷体" w:hAnsi="楷体" w:eastAsia="楷体" w:cs="仿宋_GB2312"/>
          <w:b/>
          <w:sz w:val="32"/>
          <w:szCs w:val="28"/>
        </w:rPr>
        <w:t>（一）成立标准编制工作组</w:t>
      </w:r>
    </w:p>
    <w:p w14:paraId="437C2B65">
      <w:pPr>
        <w:ind w:firstLine="640" w:firstLineChars="200"/>
        <w:rPr>
          <w:rFonts w:ascii="仿宋_GB2312" w:hAnsi="宋体" w:eastAsia="仿宋_GB2312"/>
          <w:sz w:val="32"/>
          <w:szCs w:val="28"/>
        </w:rPr>
      </w:pPr>
      <w:r>
        <w:rPr>
          <w:rFonts w:hint="eastAsia" w:ascii="仿宋_GB2312" w:hAnsi="宋体" w:eastAsia="仿宋_GB2312"/>
          <w:sz w:val="32"/>
          <w:szCs w:val="28"/>
        </w:rPr>
        <w:t>团体标准《甘蔗种质资源信息平台运行维护管理规范》项目任务下达后，广西壮族自治区农业科学院成立了标准编制工作组，起草单位制定了起草编写方案与进度安排，明确任务职责，确定工作技术路线，开展标准研制工作。具体标准编制工作由广西壮族自治区农业科学院农业科技信息研究所、广西壮族自治区农业科学院甘蔗研究所、广西壮族自治区亚热带作物研究所、广西金点子信息科技有限公司、广西春之蓝农业科技有限公司等单位负责人组成的标准编制工作组完成。</w:t>
      </w:r>
    </w:p>
    <w:p w14:paraId="0D99A07B">
      <w:pPr>
        <w:ind w:firstLine="640" w:firstLineChars="200"/>
        <w:rPr>
          <w:rFonts w:ascii="仿宋_GB2312" w:hAnsi="宋体" w:eastAsia="仿宋_GB2312"/>
          <w:sz w:val="32"/>
          <w:szCs w:val="28"/>
        </w:rPr>
      </w:pPr>
      <w:r>
        <w:rPr>
          <w:rFonts w:hint="eastAsia" w:ascii="仿宋_GB2312" w:hAnsi="宋体" w:eastAsia="仿宋_GB2312"/>
          <w:sz w:val="32"/>
          <w:szCs w:val="28"/>
        </w:rPr>
        <w:t>编制工作组下设三个组，分别是资料收集组、草案编写组、标准实施组。</w:t>
      </w:r>
    </w:p>
    <w:p w14:paraId="59AE398B">
      <w:pPr>
        <w:ind w:firstLine="640" w:firstLineChars="200"/>
        <w:rPr>
          <w:rFonts w:ascii="仿宋_GB2312" w:hAnsi="宋体" w:eastAsia="仿宋_GB2312"/>
          <w:sz w:val="32"/>
          <w:szCs w:val="28"/>
        </w:rPr>
      </w:pPr>
      <w:r>
        <w:rPr>
          <w:rFonts w:hint="eastAsia" w:ascii="仿宋_GB2312" w:hAnsi="宋体" w:eastAsia="仿宋_GB2312"/>
          <w:sz w:val="32"/>
          <w:szCs w:val="28"/>
        </w:rPr>
        <w:t>资料收集组负责国内外有关甘蔗种质资源信息平台运行维护管理的文献资料的查询、收集和整理工作，查阅前人对甘蔗种质资源信息平台运行维护管理的研究情况。</w:t>
      </w:r>
    </w:p>
    <w:p w14:paraId="0BE25F71">
      <w:pPr>
        <w:ind w:firstLine="640" w:firstLineChars="200"/>
        <w:rPr>
          <w:rFonts w:ascii="仿宋_GB2312" w:hAnsi="宋体" w:eastAsia="仿宋_GB2312"/>
          <w:sz w:val="32"/>
          <w:szCs w:val="28"/>
        </w:rPr>
      </w:pPr>
      <w:r>
        <w:rPr>
          <w:rFonts w:hint="eastAsia" w:ascii="仿宋_GB2312" w:hAnsi="宋体" w:eastAsia="仿宋_GB2312"/>
          <w:sz w:val="32"/>
          <w:szCs w:val="28"/>
        </w:rPr>
        <w:t>草案编写组负责起草标准草案、征求意见稿和标准编制说明、送审稿及编制说明的编写工作，包括后期召开征求意见会、网上征求意见，以及标准的不断修改和完善。</w:t>
      </w:r>
    </w:p>
    <w:p w14:paraId="067432A5">
      <w:pPr>
        <w:ind w:firstLine="640" w:firstLineChars="200"/>
        <w:rPr>
          <w:rFonts w:ascii="仿宋_GB2312" w:hAnsi="宋体" w:eastAsia="仿宋_GB2312"/>
          <w:sz w:val="32"/>
          <w:szCs w:val="28"/>
        </w:rPr>
      </w:pPr>
      <w:r>
        <w:rPr>
          <w:rFonts w:hint="eastAsia" w:ascii="仿宋_GB2312" w:hAnsi="宋体" w:eastAsia="仿宋_GB2312"/>
          <w:sz w:val="32"/>
          <w:szCs w:val="28"/>
        </w:rPr>
        <w:t>标准实施组负责团体标准《甘蔗种质资源信息平台运行维护管理规范》发布后，组织相关企事业单位开展标准宣贯培训会，对标准进行详细解读，让相关人员了解标准，并根据标准对甘蔗种质资源信息平台运行维护管理进行规范化操作，并对标准实施情况进行总结分析，不断对团体标准提出修正意见。</w:t>
      </w:r>
    </w:p>
    <w:p w14:paraId="32C78715">
      <w:pPr>
        <w:spacing w:before="156" w:beforeLines="50" w:after="156" w:afterLines="50" w:line="560" w:lineRule="exact"/>
        <w:ind w:firstLine="643" w:firstLineChars="200"/>
        <w:rPr>
          <w:rFonts w:ascii="楷体" w:hAnsi="楷体" w:eastAsia="楷体" w:cs="仿宋_GB2312"/>
          <w:b/>
          <w:sz w:val="32"/>
          <w:szCs w:val="28"/>
        </w:rPr>
      </w:pPr>
      <w:r>
        <w:rPr>
          <w:rFonts w:hint="eastAsia" w:ascii="楷体" w:hAnsi="楷体" w:eastAsia="楷体" w:cs="仿宋_GB2312"/>
          <w:b/>
          <w:sz w:val="32"/>
          <w:szCs w:val="28"/>
        </w:rPr>
        <w:t>（二）收集整理文献资料</w:t>
      </w:r>
    </w:p>
    <w:p w14:paraId="2B9611BD">
      <w:pPr>
        <w:ind w:firstLine="640" w:firstLineChars="200"/>
        <w:rPr>
          <w:rFonts w:ascii="仿宋_GB2312" w:hAnsi="宋体" w:eastAsia="仿宋_GB2312"/>
          <w:sz w:val="32"/>
          <w:szCs w:val="28"/>
          <w:lang w:val="fr-FR"/>
        </w:rPr>
      </w:pPr>
      <w:r>
        <w:rPr>
          <w:rFonts w:hint="eastAsia" w:ascii="仿宋_GB2312" w:hAnsi="宋体" w:eastAsia="仿宋_GB2312"/>
          <w:sz w:val="32"/>
          <w:szCs w:val="28"/>
        </w:rPr>
        <w:t>标准编制工作组收集了国内有关甘蔗种质资源信息平台运行维护管理相关文献资料。主要有</w:t>
      </w:r>
      <w:r>
        <w:rPr>
          <w:rFonts w:hint="eastAsia" w:ascii="仿宋_GB2312" w:hAnsi="宋体" w:eastAsia="仿宋_GB2312"/>
          <w:sz w:val="32"/>
          <w:szCs w:val="28"/>
          <w:lang w:val="fr-FR"/>
        </w:rPr>
        <w:t>：</w:t>
      </w:r>
    </w:p>
    <w:p w14:paraId="576FA702">
      <w:pPr>
        <w:spacing w:before="156" w:beforeLines="50" w:after="156" w:afterLines="50"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GB/T 28827.1-2022《信息技术服务 运行维护 第1部分：通用要求》</w:t>
      </w:r>
    </w:p>
    <w:p w14:paraId="4F3986C2">
      <w:pPr>
        <w:spacing w:before="156" w:beforeLines="50" w:after="156" w:afterLines="50"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NY/T 2936-2016《甘蔗种质资源描述规范》</w:t>
      </w:r>
    </w:p>
    <w:p w14:paraId="48357DFC">
      <w:pPr>
        <w:spacing w:before="156" w:beforeLines="50" w:after="156" w:afterLines="50"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DB13/T 5877-2023《粮食作物种质资源信息共享数据规范》</w:t>
      </w:r>
    </w:p>
    <w:p w14:paraId="373342B9">
      <w:pPr>
        <w:spacing w:before="156" w:beforeLines="50" w:after="156" w:afterLines="50"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DB32/T 4144-2021《公共信用信息平台运行维护管理规范》。</w:t>
      </w:r>
    </w:p>
    <w:p w14:paraId="44937C7D">
      <w:pPr>
        <w:spacing w:before="156" w:beforeLines="50" w:after="156" w:afterLines="50" w:line="560" w:lineRule="exact"/>
        <w:ind w:firstLine="643" w:firstLineChars="200"/>
        <w:rPr>
          <w:rFonts w:ascii="楷体" w:hAnsi="楷体" w:eastAsia="楷体" w:cs="仿宋_GB2312"/>
          <w:b/>
          <w:sz w:val="32"/>
          <w:szCs w:val="28"/>
        </w:rPr>
      </w:pPr>
      <w:r>
        <w:rPr>
          <w:rFonts w:hint="eastAsia" w:ascii="楷体" w:hAnsi="楷体" w:eastAsia="楷体" w:cs="仿宋_GB2312"/>
          <w:b/>
          <w:sz w:val="32"/>
          <w:szCs w:val="28"/>
        </w:rPr>
        <w:t>（三）研讨确定标准主体内容</w:t>
      </w:r>
    </w:p>
    <w:p w14:paraId="691B939C">
      <w:pPr>
        <w:ind w:firstLine="640" w:firstLineChars="200"/>
        <w:rPr>
          <w:rFonts w:ascii="仿宋_GB2312" w:hAnsi="宋体" w:eastAsia="仿宋_GB2312"/>
          <w:sz w:val="32"/>
          <w:szCs w:val="28"/>
        </w:rPr>
      </w:pPr>
      <w:r>
        <w:rPr>
          <w:rFonts w:hint="eastAsia" w:ascii="仿宋_GB2312" w:hAnsi="宋体" w:eastAsia="仿宋_GB2312"/>
          <w:sz w:val="32"/>
          <w:szCs w:val="28"/>
        </w:rPr>
        <w:t>标准编制工作组在对收集的资料进行整理研究之后，202</w:t>
      </w:r>
      <w:r>
        <w:rPr>
          <w:rFonts w:ascii="仿宋_GB2312" w:hAnsi="宋体" w:eastAsia="仿宋_GB2312"/>
          <w:sz w:val="32"/>
          <w:szCs w:val="28"/>
        </w:rPr>
        <w:t>4</w:t>
      </w:r>
      <w:r>
        <w:rPr>
          <w:rFonts w:hint="eastAsia" w:ascii="仿宋_GB2312" w:hAnsi="宋体" w:eastAsia="仿宋_GB2312"/>
          <w:sz w:val="32"/>
          <w:szCs w:val="28"/>
        </w:rPr>
        <w:t>年8月，标准编制工作组召开了标准编制会议，对标准的整体框架结构进行了研究，并对标准的关键性内容进行了初步探讨。经过研究，标准的主体内容确</w:t>
      </w:r>
      <w:r>
        <w:rPr>
          <w:rFonts w:hint="eastAsia" w:ascii="仿宋_GB2312" w:hAnsi="宋体" w:eastAsia="仿宋_GB2312"/>
          <w:sz w:val="32"/>
          <w:szCs w:val="28"/>
          <w:highlight w:val="none"/>
        </w:rPr>
        <w:t>定为术语和定义基本要求，及运行管理、维护管理、安全管理、检查和改进。</w:t>
      </w:r>
    </w:p>
    <w:p w14:paraId="61FABD75">
      <w:pPr>
        <w:spacing w:before="156" w:beforeLines="50" w:after="156" w:afterLines="50" w:line="560" w:lineRule="exact"/>
        <w:ind w:firstLine="643" w:firstLineChars="200"/>
        <w:rPr>
          <w:rFonts w:ascii="楷体" w:hAnsi="楷体" w:eastAsia="楷体" w:cs="仿宋_GB2312"/>
          <w:b/>
          <w:sz w:val="32"/>
          <w:szCs w:val="28"/>
        </w:rPr>
      </w:pPr>
      <w:r>
        <w:rPr>
          <w:rFonts w:hint="eastAsia" w:ascii="楷体" w:hAnsi="楷体" w:eastAsia="楷体" w:cs="仿宋_GB2312"/>
          <w:b/>
          <w:sz w:val="32"/>
          <w:szCs w:val="28"/>
        </w:rPr>
        <w:t>（四）调研及形成草案、征求意见稿</w:t>
      </w:r>
    </w:p>
    <w:p w14:paraId="6B432005">
      <w:pPr>
        <w:ind w:firstLine="640" w:firstLineChars="200"/>
        <w:rPr>
          <w:rFonts w:ascii="仿宋_GB2312" w:hAnsi="宋体" w:eastAsia="仿宋_GB2312"/>
          <w:sz w:val="32"/>
          <w:szCs w:val="28"/>
        </w:rPr>
      </w:pPr>
      <w:r>
        <w:rPr>
          <w:rFonts w:hint="eastAsia" w:ascii="仿宋_GB2312" w:hAnsi="宋体" w:eastAsia="仿宋_GB2312"/>
          <w:sz w:val="32"/>
          <w:szCs w:val="28"/>
        </w:rPr>
        <w:t>202</w:t>
      </w:r>
      <w:r>
        <w:rPr>
          <w:rFonts w:ascii="仿宋_GB2312" w:hAnsi="宋体" w:eastAsia="仿宋_GB2312"/>
          <w:sz w:val="32"/>
          <w:szCs w:val="28"/>
        </w:rPr>
        <w:t>4</w:t>
      </w:r>
      <w:r>
        <w:rPr>
          <w:rFonts w:hint="eastAsia" w:ascii="仿宋_GB2312" w:hAnsi="宋体" w:eastAsia="仿宋_GB2312"/>
          <w:sz w:val="32"/>
          <w:szCs w:val="28"/>
        </w:rPr>
        <w:t>年</w:t>
      </w:r>
      <w:r>
        <w:rPr>
          <w:rFonts w:ascii="仿宋_GB2312" w:hAnsi="宋体" w:eastAsia="仿宋_GB2312"/>
          <w:sz w:val="32"/>
          <w:szCs w:val="28"/>
        </w:rPr>
        <w:t>8</w:t>
      </w:r>
      <w:r>
        <w:rPr>
          <w:rFonts w:hint="eastAsia" w:ascii="仿宋_GB2312" w:hAnsi="宋体" w:eastAsia="仿宋_GB2312"/>
          <w:sz w:val="32"/>
          <w:szCs w:val="28"/>
        </w:rPr>
        <w:t>月，标准起草工作小组进行了广泛调研工作，查阅了大量的国内外文献资料，对甘蔗种质资源信息平台运行维护管理的前人研究成果进行系统总结。形成了标准的基本构架，对主要内容进行了讨论并对项目的工作进行了部署和安排。</w:t>
      </w:r>
    </w:p>
    <w:p w14:paraId="09305CF3">
      <w:pPr>
        <w:ind w:firstLine="640" w:firstLineChars="200"/>
        <w:rPr>
          <w:rFonts w:ascii="仿宋_GB2312" w:hAnsi="宋体" w:eastAsia="仿宋_GB2312"/>
          <w:sz w:val="32"/>
          <w:szCs w:val="28"/>
        </w:rPr>
      </w:pPr>
      <w:r>
        <w:rPr>
          <w:rFonts w:hint="eastAsia" w:ascii="仿宋_GB2312" w:hAnsi="宋体" w:eastAsia="仿宋_GB2312"/>
          <w:sz w:val="32"/>
          <w:szCs w:val="28"/>
        </w:rPr>
        <w:t>202</w:t>
      </w:r>
      <w:r>
        <w:rPr>
          <w:rFonts w:ascii="仿宋_GB2312" w:hAnsi="宋体" w:eastAsia="仿宋_GB2312"/>
          <w:sz w:val="32"/>
          <w:szCs w:val="28"/>
        </w:rPr>
        <w:t>4</w:t>
      </w:r>
      <w:r>
        <w:rPr>
          <w:rFonts w:hint="eastAsia" w:ascii="仿宋_GB2312" w:hAnsi="宋体" w:eastAsia="仿宋_GB2312"/>
          <w:sz w:val="32"/>
          <w:szCs w:val="28"/>
        </w:rPr>
        <w:t>年</w:t>
      </w:r>
      <w:r>
        <w:rPr>
          <w:rFonts w:ascii="仿宋_GB2312" w:hAnsi="宋体" w:eastAsia="仿宋_GB2312"/>
          <w:sz w:val="32"/>
          <w:szCs w:val="28"/>
        </w:rPr>
        <w:t>9</w:t>
      </w:r>
      <w:r>
        <w:rPr>
          <w:rFonts w:hint="eastAsia" w:ascii="仿宋_GB2312" w:hAnsi="宋体" w:eastAsia="仿宋_GB2312"/>
          <w:sz w:val="32"/>
          <w:szCs w:val="28"/>
        </w:rPr>
        <w:t>月</w:t>
      </w:r>
      <w:r>
        <w:rPr>
          <w:rFonts w:hint="eastAsia" w:ascii="仿宋_GB2312" w:hAnsi="宋体" w:eastAsia="仿宋_GB2312"/>
          <w:sz w:val="32"/>
          <w:szCs w:val="28"/>
          <w:lang w:val="en-US" w:eastAsia="zh-CN"/>
        </w:rPr>
        <w:t>-10月</w:t>
      </w:r>
      <w:r>
        <w:rPr>
          <w:rFonts w:hint="eastAsia" w:ascii="仿宋_GB2312" w:hAnsi="宋体" w:eastAsia="仿宋_GB2312"/>
          <w:sz w:val="32"/>
          <w:szCs w:val="28"/>
        </w:rPr>
        <w:t>，在前期工作的基础之上，通过理清逻辑脉络，整合已有的参考资料中有关甘蔗种质资源信息平台运行维护管理要求，并结合甘蔗种质资源信息平台运行维护管理实际要求的基础上，按照简化、统一等原则编制完成团体标准《甘蔗种质资源信息平台运行维护管理规范》（草案）。</w:t>
      </w:r>
    </w:p>
    <w:p w14:paraId="1F6A96F1">
      <w:pPr>
        <w:ind w:firstLine="640" w:firstLineChars="200"/>
        <w:rPr>
          <w:rFonts w:ascii="仿宋_GB2312" w:hAnsi="宋体" w:eastAsia="仿宋_GB2312"/>
          <w:sz w:val="32"/>
          <w:szCs w:val="28"/>
        </w:rPr>
      </w:pPr>
      <w:r>
        <w:rPr>
          <w:rFonts w:hint="eastAsia" w:ascii="仿宋_GB2312" w:hAnsi="宋体" w:eastAsia="仿宋_GB2312"/>
          <w:sz w:val="32"/>
          <w:szCs w:val="28"/>
        </w:rPr>
        <w:t>202</w:t>
      </w:r>
      <w:r>
        <w:rPr>
          <w:rFonts w:ascii="仿宋_GB2312" w:hAnsi="宋体" w:eastAsia="仿宋_GB2312"/>
          <w:sz w:val="32"/>
          <w:szCs w:val="28"/>
        </w:rPr>
        <w:t>4</w:t>
      </w:r>
      <w:r>
        <w:rPr>
          <w:rFonts w:hint="eastAsia" w:ascii="仿宋_GB2312" w:hAnsi="宋体" w:eastAsia="仿宋_GB2312"/>
          <w:sz w:val="32"/>
          <w:szCs w:val="28"/>
        </w:rPr>
        <w:t>年</w:t>
      </w:r>
      <w:r>
        <w:rPr>
          <w:rFonts w:hint="eastAsia" w:ascii="仿宋_GB2312" w:hAnsi="宋体" w:eastAsia="仿宋_GB2312"/>
          <w:sz w:val="32"/>
          <w:szCs w:val="28"/>
          <w:lang w:val="en-US" w:eastAsia="zh-CN"/>
        </w:rPr>
        <w:t>11</w:t>
      </w:r>
      <w:r>
        <w:rPr>
          <w:rFonts w:hint="eastAsia" w:ascii="仿宋_GB2312" w:hAnsi="宋体" w:eastAsia="仿宋_GB2312"/>
          <w:sz w:val="32"/>
          <w:szCs w:val="28"/>
        </w:rPr>
        <w:t>月</w:t>
      </w:r>
      <w:r>
        <w:rPr>
          <w:rFonts w:hint="eastAsia" w:ascii="仿宋_GB2312" w:hAnsi="宋体" w:eastAsia="仿宋_GB2312"/>
          <w:sz w:val="32"/>
          <w:szCs w:val="28"/>
          <w:lang w:val="en-US" w:eastAsia="zh-CN"/>
        </w:rPr>
        <w:t>12月</w:t>
      </w:r>
      <w:r>
        <w:rPr>
          <w:rFonts w:hint="eastAsia" w:ascii="仿宋_GB2312" w:hAnsi="宋体" w:eastAsia="仿宋_GB2312"/>
          <w:sz w:val="32"/>
          <w:szCs w:val="28"/>
        </w:rPr>
        <w:t>，标准起草工作组到</w:t>
      </w:r>
      <w:r>
        <w:rPr>
          <w:rFonts w:ascii="仿宋_GB2312" w:hAnsi="宋体" w:eastAsia="仿宋_GB2312"/>
          <w:sz w:val="32"/>
          <w:szCs w:val="28"/>
        </w:rPr>
        <w:t>相关单位和科研机构进行调研，开展试验验证</w:t>
      </w:r>
      <w:r>
        <w:rPr>
          <w:rFonts w:hint="eastAsia" w:ascii="仿宋_GB2312" w:hAnsi="宋体" w:eastAsia="仿宋_GB2312"/>
          <w:sz w:val="32"/>
          <w:szCs w:val="28"/>
        </w:rPr>
        <w:t>。并实际征求意见，通过收集反馈了大量意见，标准编制工作组多次召开会议，对标准草案进行了反复修改和研究讨论。进一步讨论完善标准草案，形成团体标准《甘蔗种质资源信息平台运行维护管理规范》（征求意见稿）和（征求意见稿）编制说明。</w:t>
      </w:r>
    </w:p>
    <w:p w14:paraId="3B832357">
      <w:pPr>
        <w:autoSpaceDE w:val="0"/>
        <w:autoSpaceDN w:val="0"/>
        <w:adjustRightInd w:val="0"/>
        <w:jc w:val="left"/>
        <w:rPr>
          <w:rFonts w:eastAsia="黑体"/>
          <w:bCs/>
          <w:sz w:val="32"/>
          <w:szCs w:val="32"/>
        </w:rPr>
      </w:pPr>
      <w:bookmarkStart w:id="0" w:name="_Toc526940083"/>
      <w:r>
        <w:rPr>
          <w:rFonts w:eastAsia="黑体"/>
          <w:bCs/>
          <w:sz w:val="32"/>
          <w:szCs w:val="32"/>
        </w:rPr>
        <w:t>四、</w:t>
      </w:r>
      <w:bookmarkEnd w:id="0"/>
      <w:r>
        <w:rPr>
          <w:rFonts w:eastAsia="黑体"/>
          <w:bCs/>
          <w:sz w:val="32"/>
          <w:szCs w:val="32"/>
        </w:rPr>
        <w:t>制定标准的原则和依据，与现行法律、法规的关系，与有关国家标准、行业标准的协调情况</w:t>
      </w:r>
    </w:p>
    <w:p w14:paraId="30EFA250">
      <w:pPr>
        <w:pStyle w:val="10"/>
        <w:spacing w:line="560" w:lineRule="exact"/>
        <w:ind w:firstLine="0" w:firstLineChars="0"/>
        <w:outlineLvl w:val="1"/>
        <w:rPr>
          <w:rFonts w:ascii="Times New Roman" w:eastAsia="仿宋"/>
          <w:b/>
          <w:bCs/>
          <w:sz w:val="32"/>
          <w:szCs w:val="32"/>
        </w:rPr>
      </w:pPr>
      <w:r>
        <w:rPr>
          <w:rFonts w:ascii="Times New Roman" w:eastAsia="仿宋"/>
          <w:b/>
          <w:bCs/>
          <w:sz w:val="32"/>
          <w:szCs w:val="32"/>
        </w:rPr>
        <w:t>（一）编制原则</w:t>
      </w:r>
    </w:p>
    <w:p w14:paraId="7432AB81">
      <w:pPr>
        <w:tabs>
          <w:tab w:val="center" w:pos="4201"/>
          <w:tab w:val="right" w:leader="dot" w:pos="9298"/>
        </w:tabs>
        <w:autoSpaceDE w:val="0"/>
        <w:autoSpaceDN w:val="0"/>
        <w:ind w:firstLine="643"/>
        <w:outlineLvl w:val="2"/>
        <w:rPr>
          <w:rFonts w:eastAsia="仿宋"/>
          <w:b/>
          <w:bCs/>
          <w:kern w:val="0"/>
          <w:sz w:val="32"/>
          <w:szCs w:val="32"/>
        </w:rPr>
      </w:pPr>
      <w:r>
        <w:rPr>
          <w:rFonts w:eastAsia="仿宋"/>
          <w:b/>
          <w:bCs/>
          <w:kern w:val="0"/>
          <w:sz w:val="32"/>
          <w:szCs w:val="32"/>
        </w:rPr>
        <w:t>1、实用性原则</w:t>
      </w:r>
    </w:p>
    <w:p w14:paraId="096AD80F">
      <w:pPr>
        <w:ind w:firstLine="640" w:firstLineChars="200"/>
        <w:rPr>
          <w:rFonts w:ascii="仿宋_GB2312" w:hAnsi="宋体" w:eastAsia="仿宋_GB2312"/>
          <w:sz w:val="32"/>
          <w:szCs w:val="28"/>
        </w:rPr>
      </w:pPr>
      <w:r>
        <w:rPr>
          <w:rFonts w:hint="eastAsia" w:ascii="仿宋_GB2312" w:hAnsi="宋体" w:eastAsia="仿宋_GB2312"/>
          <w:sz w:val="32"/>
          <w:szCs w:val="28"/>
        </w:rPr>
        <w:t>本文件是在充分收集相关资料和文献，分析甘蔗种质资源信息平台运行维护管理当前现状，在现有相关甘蔗种质资源信息平台运行维护管理要求的基础上，结合编制单位</w:t>
      </w:r>
      <w:r>
        <w:rPr>
          <w:rFonts w:ascii="仿宋_GB2312" w:hAnsi="宋体" w:eastAsia="仿宋_GB2312"/>
          <w:sz w:val="32"/>
          <w:szCs w:val="28"/>
        </w:rPr>
        <w:t>多年</w:t>
      </w:r>
      <w:r>
        <w:rPr>
          <w:rFonts w:hint="eastAsia" w:ascii="仿宋_GB2312" w:hAnsi="宋体" w:eastAsia="仿宋_GB2312"/>
          <w:sz w:val="32"/>
          <w:szCs w:val="28"/>
        </w:rPr>
        <w:t>相关经验而总结起草的，符合当前甘蔗种质资源信息平台运行维护管理发展的方向，具有较强的实用性和可操作性。</w:t>
      </w:r>
    </w:p>
    <w:p w14:paraId="62EF7D35">
      <w:pPr>
        <w:tabs>
          <w:tab w:val="center" w:pos="4201"/>
          <w:tab w:val="right" w:leader="dot" w:pos="9298"/>
        </w:tabs>
        <w:autoSpaceDE w:val="0"/>
        <w:autoSpaceDN w:val="0"/>
        <w:ind w:firstLine="643"/>
        <w:outlineLvl w:val="2"/>
        <w:rPr>
          <w:rFonts w:eastAsia="仿宋"/>
          <w:b/>
          <w:bCs/>
          <w:kern w:val="0"/>
          <w:sz w:val="32"/>
          <w:szCs w:val="32"/>
        </w:rPr>
      </w:pPr>
      <w:r>
        <w:rPr>
          <w:rFonts w:hint="eastAsia" w:eastAsia="仿宋"/>
          <w:b/>
          <w:bCs/>
          <w:kern w:val="0"/>
          <w:sz w:val="32"/>
          <w:szCs w:val="32"/>
        </w:rPr>
        <w:t>2、协调性原则</w:t>
      </w:r>
    </w:p>
    <w:p w14:paraId="18A33837">
      <w:pPr>
        <w:ind w:firstLine="640" w:firstLineChars="200"/>
        <w:rPr>
          <w:rFonts w:ascii="仿宋_GB2312" w:hAnsi="宋体" w:eastAsia="仿宋_GB2312"/>
          <w:sz w:val="32"/>
          <w:szCs w:val="28"/>
        </w:rPr>
      </w:pPr>
      <w:r>
        <w:rPr>
          <w:rFonts w:hint="eastAsia" w:ascii="仿宋_GB2312" w:hAnsi="宋体" w:eastAsia="仿宋_GB2312"/>
          <w:sz w:val="32"/>
          <w:szCs w:val="28"/>
        </w:rPr>
        <w:t>本文件编写过程中注意了与甘蔗种质资源信息平台运行维护管理相关法律法规的协调问题，在内容上与现行法律法规、标准协调一致。</w:t>
      </w:r>
    </w:p>
    <w:p w14:paraId="48B06747">
      <w:pPr>
        <w:tabs>
          <w:tab w:val="center" w:pos="4201"/>
          <w:tab w:val="right" w:leader="dot" w:pos="9298"/>
        </w:tabs>
        <w:autoSpaceDE w:val="0"/>
        <w:autoSpaceDN w:val="0"/>
        <w:ind w:firstLine="643"/>
        <w:outlineLvl w:val="2"/>
        <w:rPr>
          <w:rFonts w:eastAsia="仿宋"/>
          <w:b/>
          <w:bCs/>
          <w:kern w:val="0"/>
          <w:sz w:val="32"/>
          <w:szCs w:val="32"/>
        </w:rPr>
      </w:pPr>
      <w:r>
        <w:rPr>
          <w:rFonts w:hint="eastAsia" w:eastAsia="仿宋"/>
          <w:b/>
          <w:bCs/>
          <w:kern w:val="0"/>
          <w:sz w:val="32"/>
          <w:szCs w:val="32"/>
        </w:rPr>
        <w:t>3、规范性原则</w:t>
      </w:r>
    </w:p>
    <w:p w14:paraId="3276EBB5">
      <w:pPr>
        <w:ind w:firstLine="640" w:firstLineChars="200"/>
        <w:rPr>
          <w:rFonts w:ascii="仿宋_GB2312" w:hAnsi="宋体" w:eastAsia="仿宋_GB2312"/>
          <w:sz w:val="32"/>
          <w:szCs w:val="28"/>
        </w:rPr>
      </w:pPr>
      <w:r>
        <w:rPr>
          <w:rFonts w:hint="eastAsia" w:ascii="仿宋_GB2312" w:hAnsi="宋体" w:eastAsia="仿宋_GB2312"/>
          <w:sz w:val="32"/>
          <w:szCs w:val="28"/>
        </w:rPr>
        <w:t>本文件严格参照GB/T 1.1—2020《标准化工作导则  第1部分：标准化文件的结构和起草规则》编写本标准的内容，保证标准的编写质量。</w:t>
      </w:r>
    </w:p>
    <w:p w14:paraId="173D3B39">
      <w:pPr>
        <w:tabs>
          <w:tab w:val="center" w:pos="4201"/>
          <w:tab w:val="right" w:leader="dot" w:pos="9298"/>
        </w:tabs>
        <w:autoSpaceDE w:val="0"/>
        <w:autoSpaceDN w:val="0"/>
        <w:ind w:firstLine="643"/>
        <w:outlineLvl w:val="2"/>
        <w:rPr>
          <w:rFonts w:eastAsia="仿宋"/>
          <w:b/>
          <w:bCs/>
          <w:kern w:val="0"/>
          <w:sz w:val="32"/>
          <w:szCs w:val="32"/>
        </w:rPr>
      </w:pPr>
      <w:r>
        <w:rPr>
          <w:rFonts w:hint="eastAsia" w:eastAsia="仿宋"/>
          <w:b/>
          <w:bCs/>
          <w:kern w:val="0"/>
          <w:sz w:val="32"/>
          <w:szCs w:val="32"/>
        </w:rPr>
        <w:t>4、前瞻性原则</w:t>
      </w:r>
    </w:p>
    <w:p w14:paraId="2315C397">
      <w:pPr>
        <w:ind w:firstLine="640" w:firstLineChars="200"/>
        <w:rPr>
          <w:rFonts w:ascii="仿宋_GB2312" w:hAnsi="宋体" w:eastAsia="仿宋_GB2312"/>
          <w:sz w:val="32"/>
          <w:szCs w:val="28"/>
        </w:rPr>
      </w:pPr>
      <w:r>
        <w:rPr>
          <w:rFonts w:hint="eastAsia" w:ascii="仿宋_GB2312" w:hAnsi="宋体" w:eastAsia="仿宋_GB2312"/>
          <w:sz w:val="32"/>
          <w:szCs w:val="28"/>
        </w:rPr>
        <w:t>本文件在兼顾当前区内甘蔗种质资源信息平台运行维护管理现实情况的同时，还考虑到了甘蔗种质资源信息平台运行维护管理快速发展的趋势和需要，在标准中体现了个别特色性、前瞻性和先进性条款，作为对甘蔗种质资源信息平台运行维护管理发展的指导。</w:t>
      </w:r>
    </w:p>
    <w:p w14:paraId="323DB155">
      <w:pPr>
        <w:widowControl/>
        <w:tabs>
          <w:tab w:val="center" w:pos="4201"/>
          <w:tab w:val="right" w:leader="dot" w:pos="9298"/>
        </w:tabs>
        <w:autoSpaceDE w:val="0"/>
        <w:autoSpaceDN w:val="0"/>
        <w:spacing w:line="560" w:lineRule="exact"/>
        <w:outlineLvl w:val="1"/>
        <w:rPr>
          <w:rFonts w:eastAsia="仿宋"/>
          <w:b/>
          <w:bCs/>
          <w:kern w:val="0"/>
          <w:sz w:val="32"/>
          <w:szCs w:val="32"/>
        </w:rPr>
      </w:pPr>
      <w:r>
        <w:rPr>
          <w:rFonts w:eastAsia="仿宋"/>
          <w:b/>
          <w:bCs/>
          <w:kern w:val="0"/>
          <w:sz w:val="32"/>
          <w:szCs w:val="32"/>
        </w:rPr>
        <w:t>（二）编制依据</w:t>
      </w:r>
    </w:p>
    <w:p w14:paraId="03C8CA65">
      <w:pPr>
        <w:ind w:firstLine="640" w:firstLineChars="200"/>
        <w:rPr>
          <w:rFonts w:eastAsia="仿宋"/>
          <w:sz w:val="32"/>
          <w:szCs w:val="32"/>
        </w:rPr>
      </w:pPr>
      <w:r>
        <w:rPr>
          <w:rFonts w:eastAsia="仿宋"/>
          <w:sz w:val="32"/>
          <w:szCs w:val="32"/>
        </w:rPr>
        <w:t>本标准严格按照GB/T 1.1—2020《标准化工作导则  第1部分：标准化文件的结构和起草规则》的规则起草，标准主要内容参考相关标准文件并结合起草单位多年的</w:t>
      </w:r>
      <w:r>
        <w:rPr>
          <w:rFonts w:hint="eastAsia" w:eastAsia="仿宋"/>
          <w:sz w:val="32"/>
          <w:szCs w:val="32"/>
        </w:rPr>
        <w:t>相关</w:t>
      </w:r>
      <w:r>
        <w:rPr>
          <w:rFonts w:eastAsia="仿宋"/>
          <w:sz w:val="32"/>
          <w:szCs w:val="32"/>
        </w:rPr>
        <w:t>经验</w:t>
      </w:r>
      <w:r>
        <w:rPr>
          <w:rFonts w:hint="eastAsia" w:eastAsia="仿宋"/>
          <w:sz w:val="32"/>
          <w:szCs w:val="32"/>
        </w:rPr>
        <w:t>和实践</w:t>
      </w:r>
      <w:r>
        <w:rPr>
          <w:rFonts w:eastAsia="仿宋"/>
          <w:sz w:val="32"/>
          <w:szCs w:val="32"/>
        </w:rPr>
        <w:t>验证情况总结进行起草。</w:t>
      </w:r>
    </w:p>
    <w:p w14:paraId="4909473A">
      <w:pPr>
        <w:widowControl/>
        <w:tabs>
          <w:tab w:val="center" w:pos="4201"/>
          <w:tab w:val="right" w:leader="dot" w:pos="9298"/>
        </w:tabs>
        <w:autoSpaceDE w:val="0"/>
        <w:autoSpaceDN w:val="0"/>
        <w:spacing w:line="560" w:lineRule="exact"/>
        <w:outlineLvl w:val="1"/>
        <w:rPr>
          <w:rFonts w:eastAsia="仿宋"/>
          <w:b/>
          <w:bCs/>
          <w:kern w:val="0"/>
          <w:sz w:val="32"/>
          <w:szCs w:val="32"/>
        </w:rPr>
      </w:pPr>
      <w:r>
        <w:rPr>
          <w:rFonts w:eastAsia="仿宋"/>
          <w:b/>
          <w:bCs/>
          <w:kern w:val="0"/>
          <w:sz w:val="32"/>
          <w:szCs w:val="32"/>
        </w:rPr>
        <w:t>（三）与现行法律、法规的关系，与有关国家标准、行业标准的协调情况</w:t>
      </w:r>
    </w:p>
    <w:p w14:paraId="03FE614D">
      <w:pPr>
        <w:ind w:firstLine="640" w:firstLineChars="200"/>
        <w:rPr>
          <w:rFonts w:eastAsia="仿宋"/>
          <w:sz w:val="32"/>
          <w:szCs w:val="32"/>
        </w:rPr>
      </w:pPr>
      <w:r>
        <w:rPr>
          <w:rFonts w:hint="eastAsia" w:eastAsia="仿宋"/>
          <w:sz w:val="32"/>
          <w:szCs w:val="32"/>
        </w:rPr>
        <w:t>本编制工作组承诺本标准内容与各项指标不违反相关法律法规要求，且不低于国家强制性标准、推荐性国家标准和行业标准要求。</w:t>
      </w:r>
    </w:p>
    <w:p w14:paraId="6FEE619D">
      <w:pPr>
        <w:ind w:firstLine="640" w:firstLineChars="200"/>
        <w:rPr>
          <w:rFonts w:hint="eastAsia" w:ascii="仿宋_GB2312" w:hAnsi="宋体" w:eastAsia="仿宋_GB2312"/>
          <w:sz w:val="32"/>
          <w:szCs w:val="28"/>
        </w:rPr>
      </w:pPr>
      <w:r>
        <w:rPr>
          <w:rFonts w:hint="eastAsia" w:ascii="仿宋_GB2312" w:hAnsi="宋体" w:eastAsia="仿宋_GB2312"/>
          <w:sz w:val="32"/>
          <w:szCs w:val="28"/>
        </w:rPr>
        <w:t>经查阅，目前与“种质资源 平台”“甘蔗种质资源 管理”“信息平台 运行维护”“信息平台 管理”“ 运行维护管理”相关的标准有：</w:t>
      </w:r>
    </w:p>
    <w:p w14:paraId="2723B7F3">
      <w:pPr>
        <w:ind w:firstLine="640" w:firstLineChars="200"/>
        <w:rPr>
          <w:rFonts w:hint="eastAsia" w:ascii="仿宋_GB2312" w:hAnsi="宋体" w:eastAsia="仿宋_GB2312"/>
          <w:sz w:val="32"/>
          <w:szCs w:val="28"/>
        </w:rPr>
      </w:pPr>
      <w:r>
        <w:rPr>
          <w:rFonts w:hint="eastAsia" w:ascii="仿宋_GB2312" w:hAnsi="宋体" w:eastAsia="仿宋_GB2312"/>
          <w:sz w:val="32"/>
          <w:szCs w:val="28"/>
        </w:rPr>
        <w:t>GB/T 28827.1-2022《信息技术服务 运行维护 第1部分：通用要求》描述了运行维护服务能力模型,规定了运行维护的能力建设、人员、过程、技术、资源等能力要素的要求，适用于运行维护服务相关方。</w:t>
      </w:r>
    </w:p>
    <w:p w14:paraId="2054BF1E">
      <w:pPr>
        <w:ind w:firstLine="640" w:firstLineChars="200"/>
        <w:rPr>
          <w:rFonts w:hint="eastAsia" w:ascii="仿宋_GB2312" w:hAnsi="宋体" w:eastAsia="仿宋_GB2312"/>
          <w:sz w:val="32"/>
          <w:szCs w:val="28"/>
        </w:rPr>
      </w:pPr>
      <w:r>
        <w:rPr>
          <w:rFonts w:hint="eastAsia" w:ascii="仿宋_GB2312" w:hAnsi="宋体" w:eastAsia="仿宋_GB2312"/>
          <w:sz w:val="32"/>
          <w:szCs w:val="28"/>
        </w:rPr>
        <w:t>NY/T 2936-2016《甘蔗种质资源描述规范》规定了甘蔗种质资源的基本信息、植物学特征、生物学特性、产量性状、品质性状及抗性性状的描述方法，适用于对甘蔗属(Saccharum Linn. )及其近缘属植物,包括:蔗茅属(Erianthus Michx. sect.Ripidium Henrard)、芒属(Miscanthus Anderss.)、河八王属(Narenga Bor.)、硬穗茅属(SclerostachyaHack A.Camus）甘蔗种质资源的描述。</w:t>
      </w:r>
    </w:p>
    <w:p w14:paraId="6E34B391">
      <w:pPr>
        <w:ind w:firstLine="640" w:firstLineChars="200"/>
        <w:rPr>
          <w:rFonts w:ascii="仿宋_GB2312" w:hAnsi="宋体" w:eastAsia="仿宋_GB2312"/>
          <w:sz w:val="32"/>
          <w:szCs w:val="28"/>
        </w:rPr>
      </w:pPr>
      <w:r>
        <w:rPr>
          <w:rFonts w:hint="eastAsia" w:ascii="仿宋_GB2312" w:hAnsi="宋体" w:eastAsia="仿宋_GB2312"/>
          <w:sz w:val="32"/>
          <w:szCs w:val="28"/>
        </w:rPr>
        <w:t>DB13/T 5877-2023《粮食作物种质资源信息共享数据规范》规定了水稻、野生稻、小麦、小麦野生近缘植物、玉米、大豆、大麦、高粱、谷子、黍稷、燕麦、荞麦、甘薯、马铃薯、籽粒苋、小豆、豌豆、豇豆、绿豆、普通菜豆、蚕豆、饭豆、木豆、小数据规范制定原则和方法、数据集分类等技术要求。扁豆、鹰嘴豆、羽扇豆、山黛豆、黑吉豆，28种粮食作物种质资源信息共享的数据描述术语和定义数据规范制定原则和方法、数据集分类等技术要求，适用于粮食作物种质资源保存、研究以及育种相关的政府部门、机构和企业进行粮食作物种质资源信息共享。</w:t>
      </w:r>
    </w:p>
    <w:p w14:paraId="76D9C16D">
      <w:pPr>
        <w:ind w:firstLine="640" w:firstLineChars="200"/>
        <w:rPr>
          <w:rFonts w:hint="eastAsia" w:ascii="仿宋_GB2312" w:hAnsi="宋体" w:eastAsia="仿宋_GB2312"/>
          <w:sz w:val="32"/>
          <w:szCs w:val="28"/>
        </w:rPr>
      </w:pPr>
      <w:r>
        <w:rPr>
          <w:rFonts w:hint="eastAsia" w:ascii="仿宋_GB2312" w:hAnsi="宋体" w:eastAsia="仿宋_GB2312"/>
          <w:sz w:val="32"/>
          <w:szCs w:val="28"/>
        </w:rPr>
        <w:t>DB32/T 4144-2021《公共信用信息平台运行维护管理规范》规定了各级公共信用信息平台运行维护管理的通用要求、基础设施运维、应用软件运维、安全管理和应急响应，适用于各级公共信用信息平台的运行维护管理,其他相关信用信息系统运维管理可参考使用。</w:t>
      </w:r>
    </w:p>
    <w:p w14:paraId="7FA8BB82">
      <w:pPr>
        <w:ind w:firstLine="640" w:firstLineChars="200"/>
        <w:rPr>
          <w:rFonts w:ascii="仿宋_GB2312" w:hAnsi="宋体" w:eastAsia="仿宋_GB2312"/>
          <w:sz w:val="32"/>
          <w:szCs w:val="28"/>
        </w:rPr>
      </w:pPr>
      <w:r>
        <w:rPr>
          <w:rFonts w:hint="eastAsia" w:ascii="仿宋_GB2312" w:hAnsi="宋体" w:eastAsia="仿宋_GB2312"/>
          <w:sz w:val="32"/>
          <w:szCs w:val="28"/>
        </w:rPr>
        <w:t>综上所述，目前未制定有与甘蔗种质资源信息平台运行维护管理相关的标准，现行且与“甘蔗种质资源”相关的标准主要对其性状描述提出要求，均未涉及信息平台的应用和运行维护方面的管理，因此，制定团体标准《甘蔗种质资源信息平台运行维护管理规范》，能够填补甘蔗种质资源信息平台运行维护方面的标准空白，保障平台安全高效运行。</w:t>
      </w:r>
    </w:p>
    <w:p w14:paraId="14FD2F15">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bookmarkStart w:id="1" w:name="_Toc526940084"/>
      <w:r>
        <w:rPr>
          <w:rFonts w:hint="eastAsia" w:ascii="黑体" w:hAnsi="黑体" w:eastAsia="黑体" w:cs="仿宋_GB2312"/>
          <w:sz w:val="32"/>
          <w:szCs w:val="32"/>
        </w:rPr>
        <w:t>五、</w:t>
      </w:r>
      <w:bookmarkEnd w:id="1"/>
      <w:r>
        <w:rPr>
          <w:rFonts w:hint="eastAsia" w:ascii="黑体" w:hAnsi="黑体" w:eastAsia="黑体" w:cs="仿宋_GB2312"/>
          <w:sz w:val="32"/>
          <w:szCs w:val="32"/>
        </w:rPr>
        <w:t>主要条款的说明</w:t>
      </w:r>
    </w:p>
    <w:p w14:paraId="246771C2">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近年来，广西农业科学院、广西农业科学院农业科技信息研究所承担了广西创新驱动发展专项《广西农作物种质资源收集鉴定与保存》等项目。广西农作物种质资源共享平台，采用B/S 结构，利用python3.6编程语言、django2.2框架、mysql-5.7数据库进行开发设计。设计了基于PC端和移动端的系统平台，外部用户通过浏览器和手机即可访问平台系统，浏览查询种质资源信息。平台系统采用多层逻辑架构，由展示层、业务逻辑层、基础组件层、数据层构成。平台功能包括种质信息库、优异种质库、育成品种库、资源获取、新闻信息、认证管理等6 大功能模块。广西农作物种质资源共享平台集成了广西最全的农作物种质资源信息数据，包含了粮食作物、经济作物、果树、蔬菜、花卉、牧草绿肥等多个农作物种质类别，分别建设了种质信息库、优异种质库和育成品种库，保存了广西第三次农作物普查数据和广西创新驱动发展专项“广西农作物种质资源收集鉴定与保存”的成果，还保存了目前广西历年育成的品种信息，收集信息齐全。建成的共享平台既有PC端的又支持手机移动端访问和查询，是目前最全面的平台农作物种质资源共享平台之一。广西农作物种质资源共享服务平台的建立在促进农业种质资源信息共享利用、政府宏观决策支持、科普教育等方面发挥十分重要的作用，此外平台对外提供信息共享服务能力，有力促进种质资源实物共享，提高资源的利用效率。</w:t>
      </w:r>
    </w:p>
    <w:p w14:paraId="1B76DDDF">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广西壮族自治区甘蔗研究所先后承担了国家、省级重点甘蔗科研攻关项目、国家糖料基地建设项目及应用基础研究等500多项，培育出甘蔗优良新品种68个（其中果蔗品种1个），有60多个科研项目分别获得国家、省部级科技进步奖等奖励，获授权专利350多项。培育的早熟、高糖、高产、抗倒抗旱的桂糖42号，2019年起已经连续2年成为全国糖料蔗种植面积最大的单一品种，2021年占全国糖料蔗面积的27.13%，比原有主栽品种新台糖22号的8.03%高了19.1个百分点，彻底改变了生产上品种结构长期以新台糖22号为主的单一局面，成为新的主栽品种。</w:t>
      </w:r>
    </w:p>
    <w:p w14:paraId="3C8989F9">
      <w:pPr>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综上所述，编制单位资质雄厚，在甘蔗种质资源和信息化方面的研究经验丰富，能够为标准的制定提供坚实的理论基础和实践经验。</w:t>
      </w:r>
    </w:p>
    <w:p w14:paraId="5003E715">
      <w:pPr>
        <w:ind w:firstLine="640" w:firstLineChars="200"/>
        <w:rPr>
          <w:rFonts w:ascii="仿宋_GB2312" w:hAnsi="宋体" w:eastAsia="仿宋_GB2312"/>
          <w:sz w:val="32"/>
          <w:szCs w:val="32"/>
          <w:lang w:val="zh-CN"/>
        </w:rPr>
      </w:pPr>
      <w:r>
        <w:rPr>
          <w:rFonts w:hint="eastAsia" w:ascii="仿宋_GB2312" w:hAnsi="宋体" w:eastAsia="仿宋_GB2312"/>
          <w:sz w:val="32"/>
          <w:szCs w:val="32"/>
          <w:lang w:val="zh-CN"/>
        </w:rPr>
        <w:t>团体标准《甘蔗种质资源信息平台运行维护管理规范》的主要章节内容</w:t>
      </w:r>
      <w:r>
        <w:rPr>
          <w:rFonts w:hint="eastAsia" w:ascii="仿宋_GB2312" w:hAnsi="宋体" w:eastAsia="仿宋_GB2312"/>
          <w:sz w:val="32"/>
          <w:szCs w:val="32"/>
          <w:highlight w:val="none"/>
          <w:lang w:val="zh-CN"/>
        </w:rPr>
        <w:t>包括：</w:t>
      </w:r>
      <w:r>
        <w:rPr>
          <w:rFonts w:hint="eastAsia" w:ascii="仿宋_GB2312" w:hAnsi="宋体" w:eastAsia="仿宋_GB2312"/>
          <w:sz w:val="32"/>
          <w:szCs w:val="28"/>
          <w:highlight w:val="none"/>
        </w:rPr>
        <w:t>术语和定义</w:t>
      </w:r>
      <w:r>
        <w:rPr>
          <w:rFonts w:hint="eastAsia" w:ascii="仿宋_GB2312" w:hAnsi="宋体" w:eastAsia="仿宋_GB2312"/>
          <w:sz w:val="32"/>
          <w:szCs w:val="28"/>
          <w:highlight w:val="none"/>
          <w:lang w:eastAsia="zh-CN"/>
        </w:rPr>
        <w:t>、</w:t>
      </w:r>
      <w:r>
        <w:rPr>
          <w:rFonts w:hint="eastAsia" w:ascii="仿宋_GB2312" w:hAnsi="宋体" w:eastAsia="仿宋_GB2312"/>
          <w:sz w:val="32"/>
          <w:szCs w:val="28"/>
          <w:highlight w:val="none"/>
        </w:rPr>
        <w:t>基本要求，运行管理、维护管理、安全管理、检查和改进</w:t>
      </w:r>
      <w:r>
        <w:rPr>
          <w:rFonts w:hint="eastAsia" w:ascii="仿宋_GB2312" w:hAnsi="宋体" w:eastAsia="仿宋_GB2312"/>
          <w:sz w:val="32"/>
          <w:szCs w:val="28"/>
          <w:highlight w:val="none"/>
          <w:lang w:val="zh-CN"/>
        </w:rPr>
        <w:t>。</w:t>
      </w:r>
      <w:r>
        <w:rPr>
          <w:rFonts w:hint="eastAsia" w:ascii="仿宋_GB2312" w:hAnsi="宋体" w:eastAsia="仿宋_GB2312"/>
          <w:sz w:val="32"/>
          <w:szCs w:val="32"/>
          <w:highlight w:val="none"/>
          <w:lang w:val="zh-CN"/>
        </w:rPr>
        <w:t>本文件主</w:t>
      </w:r>
      <w:r>
        <w:rPr>
          <w:rFonts w:hint="eastAsia" w:ascii="仿宋_GB2312" w:hAnsi="宋体" w:eastAsia="仿宋_GB2312"/>
          <w:sz w:val="32"/>
          <w:szCs w:val="32"/>
          <w:lang w:val="zh-CN"/>
        </w:rPr>
        <w:t>要内容及依据来源说明如下：</w:t>
      </w:r>
    </w:p>
    <w:p w14:paraId="40C50225">
      <w:pPr>
        <w:pStyle w:val="29"/>
        <w:numPr>
          <w:ilvl w:val="0"/>
          <w:numId w:val="10"/>
        </w:numPr>
        <w:autoSpaceDE w:val="0"/>
        <w:autoSpaceDN w:val="0"/>
        <w:adjustRightInd w:val="0"/>
        <w:spacing w:before="156" w:beforeLines="50" w:after="156" w:afterLines="50" w:line="560" w:lineRule="exact"/>
        <w:ind w:firstLineChars="0"/>
        <w:jc w:val="left"/>
        <w:rPr>
          <w:rFonts w:ascii="仿宋_GB2312" w:hAnsi="宋体" w:eastAsia="仿宋_GB2312"/>
          <w:b/>
          <w:sz w:val="32"/>
          <w:szCs w:val="32"/>
          <w:lang w:val="zh-CN"/>
        </w:rPr>
      </w:pPr>
      <w:r>
        <w:rPr>
          <w:rFonts w:hint="eastAsia" w:ascii="仿宋_GB2312" w:hAnsi="宋体" w:eastAsia="仿宋_GB2312"/>
          <w:b/>
          <w:sz w:val="32"/>
          <w:szCs w:val="32"/>
          <w:lang w:val="zh-CN"/>
        </w:rPr>
        <w:t>术语与定义</w:t>
      </w:r>
    </w:p>
    <w:p w14:paraId="60F02666">
      <w:pPr>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根据种质资源的甘蔗种质属种的特点对甘蔗种质资源进行定义，即可用于甘蔗育种的植物遗传资源，包括甘蔗属及其近缘属种的所有植物遗传材料。</w:t>
      </w:r>
    </w:p>
    <w:p w14:paraId="3938C0FD">
      <w:pPr>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此外，为了更好理解文件，根据信息平台的构成和功能对其进行定义，即在互联网环境下，把各种应用系统、数据资源和互联网资源综合集成为一体，为信息主体提供信息发布、查询、交互等信息服务的平台。</w:t>
      </w:r>
    </w:p>
    <w:p w14:paraId="1B0585F5">
      <w:pPr>
        <w:pStyle w:val="29"/>
        <w:numPr>
          <w:ilvl w:val="0"/>
          <w:numId w:val="10"/>
        </w:numPr>
        <w:autoSpaceDE w:val="0"/>
        <w:autoSpaceDN w:val="0"/>
        <w:adjustRightInd w:val="0"/>
        <w:spacing w:before="156" w:beforeLines="50" w:after="156" w:afterLines="50" w:line="560" w:lineRule="exact"/>
        <w:ind w:firstLineChars="0"/>
        <w:jc w:val="left"/>
        <w:rPr>
          <w:rFonts w:hint="eastAsia" w:ascii="仿宋_GB2312" w:hAnsi="宋体" w:eastAsia="仿宋_GB2312"/>
          <w:b/>
          <w:sz w:val="32"/>
          <w:szCs w:val="32"/>
          <w:lang w:val="zh-CN"/>
        </w:rPr>
      </w:pPr>
      <w:r>
        <w:rPr>
          <w:rFonts w:hint="eastAsia" w:ascii="仿宋_GB2312" w:hAnsi="宋体" w:eastAsia="仿宋_GB2312"/>
          <w:b/>
          <w:sz w:val="32"/>
          <w:szCs w:val="32"/>
          <w:lang w:val="zh-CN"/>
        </w:rPr>
        <w:t>基本要求</w:t>
      </w:r>
    </w:p>
    <w:p w14:paraId="22A6E7D6">
      <w:pPr>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参照《DA∕T 56-2014 档案信息系统运行维护规范》中对于信息系统（平台）运行的基本原则（要求），结合目前甘蔗种质资源信息平台运行维护的要求确定。要求针对甘蔗种质资源信息平台进行运行维护工作，确保甘蔗种质资源信息平台安全、持续、可靠地运行，以提高工作效率和质量,使其更好地服务于甘蔗种质资源信息管理工作。建立和完善运行维护保障体系，按照规划实施运行维护工作，并对运行维护的结果、过程以及相关管理体系进行监督、检查、分析和评估，并实施改进。同时，对甘蔗种质资源信息平台的运行维护操作要求有记录、可追溯，便于事后回顾各操作的时间、流程及内容。此外，由于甘蔗种质资源信息平台的运行维护不仅需要涉及计算机应用专业的专业技术人员参与，还需要熟悉甘蔗育种栽培相关的专业技术人员，因此，要求平台的运行维护过程配备相应的技术人员。</w:t>
      </w:r>
    </w:p>
    <w:p w14:paraId="52E77DA5">
      <w:pPr>
        <w:pStyle w:val="29"/>
        <w:numPr>
          <w:ilvl w:val="0"/>
          <w:numId w:val="10"/>
        </w:numPr>
        <w:autoSpaceDE w:val="0"/>
        <w:autoSpaceDN w:val="0"/>
        <w:adjustRightInd w:val="0"/>
        <w:spacing w:before="156" w:beforeLines="50" w:after="156" w:afterLines="50" w:line="560" w:lineRule="exact"/>
        <w:ind w:firstLineChars="0"/>
        <w:jc w:val="left"/>
        <w:rPr>
          <w:rFonts w:hint="eastAsia" w:ascii="仿宋_GB2312" w:hAnsi="宋体" w:eastAsia="仿宋_GB2312"/>
          <w:b/>
          <w:sz w:val="32"/>
          <w:szCs w:val="32"/>
          <w:lang w:val="zh-CN"/>
        </w:rPr>
      </w:pPr>
      <w:r>
        <w:rPr>
          <w:rFonts w:hint="eastAsia" w:ascii="仿宋_GB2312" w:hAnsi="宋体" w:eastAsia="仿宋_GB2312"/>
          <w:b/>
          <w:sz w:val="32"/>
          <w:szCs w:val="32"/>
          <w:lang w:val="zh-CN"/>
        </w:rPr>
        <w:t>运行管理</w:t>
      </w:r>
    </w:p>
    <w:p w14:paraId="5CA71F62">
      <w:pPr>
        <w:ind w:firstLine="640" w:firstLineChars="200"/>
        <w:rPr>
          <w:rFonts w:hint="default" w:ascii="仿宋_GB2312" w:hAnsi="宋体" w:eastAsia="仿宋_GB2312"/>
          <w:sz w:val="32"/>
          <w:szCs w:val="32"/>
          <w:lang w:val="en-US" w:eastAsia="zh-CN"/>
        </w:rPr>
      </w:pPr>
      <w:r>
        <w:rPr>
          <w:rFonts w:hint="eastAsia" w:ascii="仿宋_GB2312" w:hAnsi="宋体" w:eastAsia="仿宋_GB2312"/>
          <w:sz w:val="32"/>
          <w:szCs w:val="32"/>
          <w:lang w:val="en-US" w:eastAsia="zh-CN"/>
        </w:rPr>
        <w:t>编制单位前期《广西甘蔗种质资源数据平台设计开发项目》已经建成并运行“广西甘蔗种质资源数据平台”。其主要功能展示如下：</w:t>
      </w:r>
    </w:p>
    <w:p w14:paraId="468993DC">
      <w:pPr>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（1）前台页面</w:t>
      </w:r>
    </w:p>
    <w:p w14:paraId="3A36D034">
      <w:pPr>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前台页面的功能有资源圃简介、种质资源、桂糖品种、基地信息、新闻资讯、资源申请等功能模块，用于展示、搜索甘蔗种质资源各项信息。</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left w:w="108" w:type="dxa"/>
          <w:right w:w="108" w:type="dxa"/>
        </w:tblCellMar>
      </w:tblPr>
      <w:tblGrid>
        <w:gridCol w:w="9174"/>
      </w:tblGrid>
      <w:tr w14:paraId="2D8FE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9174" w:type="dxa"/>
          </w:tcPr>
          <w:p w14:paraId="66171248">
            <w:pPr>
              <w:jc w:val="center"/>
              <w:rPr>
                <w:rFonts w:hint="eastAsia" w:ascii="仿宋_GB2312" w:hAnsi="宋体" w:eastAsia="仿宋_GB2312"/>
                <w:sz w:val="32"/>
                <w:szCs w:val="32"/>
                <w:vertAlign w:val="baseline"/>
                <w:lang w:val="en-US" w:eastAsia="zh-CN"/>
              </w:rPr>
            </w:pPr>
            <w:r>
              <w:rPr>
                <w:rFonts w:hint="eastAsia" w:ascii="仿宋_GB2312" w:hAnsi="宋体" w:eastAsia="仿宋_GB2312"/>
                <w:sz w:val="32"/>
                <w:szCs w:val="32"/>
                <w:vertAlign w:val="baseline"/>
                <w:lang w:val="en-US" w:eastAsia="zh-CN"/>
              </w:rPr>
              <w:drawing>
                <wp:inline distT="0" distB="0" distL="114300" distR="114300">
                  <wp:extent cx="3238500" cy="4476750"/>
                  <wp:effectExtent l="0" t="0" r="0" b="0"/>
                  <wp:docPr id="1" name="图片 1" descr="广西甘蔗种质资源信息网-首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广西甘蔗种质资源信息网-首页"/>
                          <pic:cNvPicPr>
                            <a:picLocks noChangeAspect="1"/>
                          </pic:cNvPicPr>
                        </pic:nvPicPr>
                        <pic:blipFill>
                          <a:blip r:embed="rId5"/>
                          <a:stretch>
                            <a:fillRect/>
                          </a:stretch>
                        </pic:blipFill>
                        <pic:spPr>
                          <a:xfrm>
                            <a:off x="0" y="0"/>
                            <a:ext cx="3238500" cy="4476750"/>
                          </a:xfrm>
                          <a:prstGeom prst="rect">
                            <a:avLst/>
                          </a:prstGeom>
                          <a:noFill/>
                          <a:ln>
                            <a:noFill/>
                          </a:ln>
                        </pic:spPr>
                      </pic:pic>
                    </a:graphicData>
                  </a:graphic>
                </wp:inline>
              </w:drawing>
            </w:r>
          </w:p>
          <w:p w14:paraId="6C0B116B">
            <w:pPr>
              <w:jc w:val="center"/>
              <w:rPr>
                <w:rFonts w:hint="eastAsia" w:ascii="仿宋_GB2312" w:hAnsi="宋体" w:eastAsia="仿宋_GB2312"/>
                <w:sz w:val="32"/>
                <w:szCs w:val="32"/>
                <w:vertAlign w:val="baseline"/>
                <w:lang w:val="en-US" w:eastAsia="zh-CN"/>
              </w:rPr>
            </w:pPr>
            <w:r>
              <w:rPr>
                <w:rFonts w:hint="eastAsia" w:ascii="仿宋_GB2312" w:hAnsi="宋体" w:eastAsia="仿宋_GB2312"/>
                <w:sz w:val="32"/>
                <w:szCs w:val="32"/>
                <w:vertAlign w:val="baseline"/>
                <w:lang w:val="en-US" w:eastAsia="zh-CN"/>
              </w:rPr>
              <w:drawing>
                <wp:inline distT="0" distB="0" distL="114300" distR="114300">
                  <wp:extent cx="4763135" cy="2480945"/>
                  <wp:effectExtent l="0" t="0" r="18415" b="14605"/>
                  <wp:docPr id="5" name="图片 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5"/>
                          <pic:cNvPicPr>
                            <a:picLocks noChangeAspect="1"/>
                          </pic:cNvPicPr>
                        </pic:nvPicPr>
                        <pic:blipFill>
                          <a:blip r:embed="rId6"/>
                          <a:stretch>
                            <a:fillRect/>
                          </a:stretch>
                        </pic:blipFill>
                        <pic:spPr>
                          <a:xfrm>
                            <a:off x="0" y="0"/>
                            <a:ext cx="4763135" cy="2480945"/>
                          </a:xfrm>
                          <a:prstGeom prst="rect">
                            <a:avLst/>
                          </a:prstGeom>
                          <a:noFill/>
                          <a:ln>
                            <a:noFill/>
                          </a:ln>
                        </pic:spPr>
                      </pic:pic>
                    </a:graphicData>
                  </a:graphic>
                </wp:inline>
              </w:drawing>
            </w:r>
          </w:p>
        </w:tc>
      </w:tr>
    </w:tbl>
    <w:p w14:paraId="6E4057A3">
      <w:pPr>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（2）后台管理系统</w:t>
      </w:r>
    </w:p>
    <w:p w14:paraId="0F001BFB">
      <w:pPr>
        <w:ind w:firstLine="640" w:firstLineChars="200"/>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t>后台管理系统有采集管理、种质管理、桂糖品种、基地管理、新闻管理、操作日志、用户设置几大功能模块，主要用于维护甘蔗种质资源库各项信息、发布新闻等。后台管理批量导入“采集管理”、“种质管理”、“桂糖品种”数据。</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4"/>
      </w:tblGrid>
      <w:tr w14:paraId="4017F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4" w:type="dxa"/>
          </w:tcPr>
          <w:p w14:paraId="74D68C5A">
            <w:pPr>
              <w:jc w:val="center"/>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drawing>
                <wp:inline distT="0" distB="0" distL="114300" distR="114300">
                  <wp:extent cx="4456430" cy="3139440"/>
                  <wp:effectExtent l="0" t="0" r="1270" b="3810"/>
                  <wp:docPr id="3"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2"/>
                          <pic:cNvPicPr>
                            <a:picLocks noChangeAspect="1"/>
                          </pic:cNvPicPr>
                        </pic:nvPicPr>
                        <pic:blipFill>
                          <a:blip r:embed="rId7"/>
                          <a:stretch>
                            <a:fillRect/>
                          </a:stretch>
                        </pic:blipFill>
                        <pic:spPr>
                          <a:xfrm>
                            <a:off x="0" y="0"/>
                            <a:ext cx="4456430" cy="3139440"/>
                          </a:xfrm>
                          <a:prstGeom prst="rect">
                            <a:avLst/>
                          </a:prstGeom>
                          <a:noFill/>
                          <a:ln>
                            <a:noFill/>
                          </a:ln>
                        </pic:spPr>
                      </pic:pic>
                    </a:graphicData>
                  </a:graphic>
                </wp:inline>
              </w:drawing>
            </w:r>
          </w:p>
          <w:p w14:paraId="428FF586">
            <w:pPr>
              <w:jc w:val="center"/>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drawing>
                <wp:inline distT="0" distB="0" distL="114300" distR="114300">
                  <wp:extent cx="5266690" cy="2381250"/>
                  <wp:effectExtent l="0" t="0" r="1016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8"/>
                          <a:stretch>
                            <a:fillRect/>
                          </a:stretch>
                        </pic:blipFill>
                        <pic:spPr>
                          <a:xfrm>
                            <a:off x="0" y="0"/>
                            <a:ext cx="5266690" cy="2381250"/>
                          </a:xfrm>
                          <a:prstGeom prst="rect">
                            <a:avLst/>
                          </a:prstGeom>
                          <a:noFill/>
                          <a:ln>
                            <a:noFill/>
                          </a:ln>
                        </pic:spPr>
                      </pic:pic>
                    </a:graphicData>
                  </a:graphic>
                </wp:inline>
              </w:drawing>
            </w:r>
          </w:p>
          <w:p w14:paraId="2C0324B9">
            <w:pPr>
              <w:jc w:val="center"/>
              <w:rPr>
                <w:rFonts w:hint="eastAsia" w:ascii="仿宋_GB2312" w:hAnsi="宋体" w:eastAsia="仿宋_GB2312"/>
                <w:sz w:val="32"/>
                <w:szCs w:val="32"/>
                <w:lang w:val="en-US" w:eastAsia="zh-CN"/>
              </w:rPr>
            </w:pPr>
            <w:r>
              <w:rPr>
                <w:rFonts w:hint="eastAsia" w:ascii="仿宋_GB2312" w:hAnsi="宋体" w:eastAsia="仿宋_GB2312"/>
                <w:sz w:val="32"/>
                <w:szCs w:val="32"/>
                <w:lang w:val="en-US" w:eastAsia="zh-CN"/>
              </w:rPr>
              <w:drawing>
                <wp:inline distT="0" distB="0" distL="114300" distR="114300">
                  <wp:extent cx="5262245" cy="2614930"/>
                  <wp:effectExtent l="0" t="0" r="14605" b="13970"/>
                  <wp:docPr id="6" name="图片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3"/>
                          <pic:cNvPicPr>
                            <a:picLocks noChangeAspect="1"/>
                          </pic:cNvPicPr>
                        </pic:nvPicPr>
                        <pic:blipFill>
                          <a:blip r:embed="rId9"/>
                          <a:stretch>
                            <a:fillRect/>
                          </a:stretch>
                        </pic:blipFill>
                        <pic:spPr>
                          <a:xfrm>
                            <a:off x="0" y="0"/>
                            <a:ext cx="5262245" cy="2614930"/>
                          </a:xfrm>
                          <a:prstGeom prst="rect">
                            <a:avLst/>
                          </a:prstGeom>
                          <a:noFill/>
                          <a:ln>
                            <a:noFill/>
                          </a:ln>
                        </pic:spPr>
                      </pic:pic>
                    </a:graphicData>
                  </a:graphic>
                </wp:inline>
              </w:drawing>
            </w:r>
          </w:p>
        </w:tc>
      </w:tr>
    </w:tbl>
    <w:p w14:paraId="53986A34">
      <w:pPr>
        <w:ind w:firstLine="640" w:firstLineChars="200"/>
        <w:rPr>
          <w:rFonts w:hint="eastAsia" w:ascii="仿宋_GB2312" w:hAnsi="宋体" w:eastAsia="仿宋_GB2312"/>
          <w:sz w:val="32"/>
          <w:szCs w:val="32"/>
          <w:lang w:val="en-US" w:eastAsia="zh-CN"/>
        </w:rPr>
      </w:pPr>
    </w:p>
    <w:p w14:paraId="4957A70F">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en-US" w:eastAsia="zh-CN"/>
        </w:rPr>
        <w:t>1、</w:t>
      </w:r>
      <w:r>
        <w:rPr>
          <w:rFonts w:hint="eastAsia" w:ascii="仿宋_GB2312" w:hAnsi="宋体" w:eastAsia="仿宋_GB2312"/>
          <w:sz w:val="32"/>
          <w:szCs w:val="32"/>
          <w:lang w:val="zh-CN"/>
        </w:rPr>
        <w:t>数据采集</w:t>
      </w:r>
    </w:p>
    <w:p w14:paraId="5B30F279">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甘蔗种质资源表型性状数据的采集涉及到甘蔗种质资源的物理特征、生理特性和生长发育状况的系统记录。甘蔗种质资源可以分为以下几类：栽培种，包括栽培原种和杂交商业种；‌野生种，如细茎野生种、大茎野生种等；‌中间材料，如杂交后代；近缘植物‌：如蔗茅属、芒属等。不同的甘蔗种质资源其表型性状各有差别。这些数据可以通过多种方式方法获得，常见的方法有：(1)田间观察，通过人工在田间直接观察和记录甘蔗的生长状况、叶片颜色、病虫害情况等质量性状。(2)性状测定，通过人工再室内实验室测量甘蔗的长度、株高、茎径、锤度、有效茎、节间长度等数据。(3)图像分析，利用相机或无人机拍摄甘蔗种质资源图像，然后通过图像处理软件分析作物的形态特征。</w:t>
      </w:r>
    </w:p>
    <w:p w14:paraId="5ADCD217">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en-US" w:eastAsia="zh-CN"/>
        </w:rPr>
        <w:t>2、</w:t>
      </w:r>
      <w:r>
        <w:rPr>
          <w:rFonts w:hint="eastAsia" w:ascii="仿宋_GB2312" w:hAnsi="宋体" w:eastAsia="仿宋_GB2312"/>
          <w:sz w:val="32"/>
          <w:szCs w:val="32"/>
          <w:lang w:val="zh-CN"/>
        </w:rPr>
        <w:t>录入和更新</w:t>
      </w:r>
    </w:p>
    <w:p w14:paraId="22EE0A0D">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甘蔗是一种多年生作物，其生长周期可以分为几个不同的阶段，每个阶段都有其特定的生长特点。甘蔗生长的一般时期可以分为：萌芽期、苗期、分蘖期、伸长期、成熟期、收获期、休眠期、再生长期。甘蔗种质资源表型数据的录入与更新是一项基础工作，甘蔗种质资源保存在种质资源圃中，随着甘蔗种质资源生长周期的推进和环境条件的变化，表型数据也会随之变化，因此需要定期对数据库中的信息进行录入和更新，以确保数据的准确性、连续性和有效性。</w:t>
      </w:r>
    </w:p>
    <w:p w14:paraId="580D868E">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en-US" w:eastAsia="zh-CN"/>
        </w:rPr>
        <w:t>3、</w:t>
      </w:r>
      <w:r>
        <w:rPr>
          <w:rFonts w:hint="eastAsia" w:ascii="仿宋_GB2312" w:hAnsi="宋体" w:eastAsia="仿宋_GB2312"/>
          <w:sz w:val="32"/>
          <w:szCs w:val="32"/>
          <w:lang w:val="zh-CN"/>
        </w:rPr>
        <w:t>数据提取</w:t>
      </w:r>
    </w:p>
    <w:p w14:paraId="695FBFDF">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数据提取涉及从大量数据中识别、提取和整理出有价值的信息。数据提取通常包括数据清洗、数据转换和数据加载三个主要阶段。数据清洗是指去除数据中的噪声和不一致性，包括去除异常值、填补缺失值、描述格式统一等，以提高数据的质量和可用性；数据转换则是将数据转换成适合分析的格式，可能包括规范化、聚合等操作；数据加载则是将清洗和转换后的数据加载到数据库或数据仓库中，以便进行进一步的分析和处理。此外，甘蔗种质资源数据需要将来自不同来源和不同时间点的数据进行整合，形成完整的甘蔗种质资源生长档案数据。</w:t>
      </w:r>
    </w:p>
    <w:p w14:paraId="4839B900">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en-US" w:eastAsia="zh-CN"/>
        </w:rPr>
        <w:t>4、</w:t>
      </w:r>
      <w:r>
        <w:rPr>
          <w:rFonts w:hint="eastAsia" w:ascii="仿宋_GB2312" w:hAnsi="宋体" w:eastAsia="仿宋_GB2312"/>
          <w:sz w:val="32"/>
          <w:szCs w:val="32"/>
          <w:lang w:val="zh-CN"/>
        </w:rPr>
        <w:t>数据和资源共享</w:t>
      </w:r>
    </w:p>
    <w:p w14:paraId="6DB9DF04">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甘蔗种质资源的共享涉及到甘蔗种质资源数据和遗传资源材料在科研机构、育种者和农民之间进行交流和利用。共享机制的建立需要考虑到知识产权保护、数据安全和隐私保护等问题，以确保共享活动既切实可行又安全可靠。数据的访问分为多级访问权限，通过实施最小权限原则，确保用户仅能访问完成其工作所必需的数据，从而降低数据泄露和滥用的风险。同时，定期审查和更新访问权限，以适应组织结构和业务流程的变化。资源的共享采用申请的方式进行，用户在甘蔗种质资源信息平台中向资源的拥有单位进行申请，审批同意后获得相关资源遗传材料。</w:t>
      </w:r>
    </w:p>
    <w:p w14:paraId="11FCBC0F">
      <w:pPr>
        <w:pStyle w:val="29"/>
        <w:numPr>
          <w:ilvl w:val="0"/>
          <w:numId w:val="10"/>
        </w:numPr>
        <w:autoSpaceDE w:val="0"/>
        <w:autoSpaceDN w:val="0"/>
        <w:adjustRightInd w:val="0"/>
        <w:spacing w:before="156" w:beforeLines="50" w:after="156" w:afterLines="50" w:line="560" w:lineRule="exact"/>
        <w:ind w:firstLineChars="0"/>
        <w:jc w:val="left"/>
        <w:rPr>
          <w:rFonts w:hint="eastAsia" w:ascii="仿宋_GB2312" w:hAnsi="宋体" w:eastAsia="仿宋_GB2312"/>
          <w:b/>
          <w:sz w:val="32"/>
          <w:szCs w:val="32"/>
          <w:lang w:val="zh-CN"/>
        </w:rPr>
      </w:pPr>
      <w:r>
        <w:rPr>
          <w:rFonts w:hint="eastAsia" w:ascii="仿宋_GB2312" w:hAnsi="宋体" w:eastAsia="仿宋_GB2312"/>
          <w:b/>
          <w:sz w:val="32"/>
          <w:szCs w:val="32"/>
          <w:lang w:val="zh-CN"/>
        </w:rPr>
        <w:t>维护管理</w:t>
      </w:r>
    </w:p>
    <w:p w14:paraId="0C05726B">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en-US" w:eastAsia="zh-CN"/>
        </w:rPr>
        <w:t>1、</w:t>
      </w:r>
      <w:r>
        <w:rPr>
          <w:rFonts w:hint="eastAsia" w:ascii="仿宋_GB2312" w:hAnsi="宋体" w:eastAsia="仿宋_GB2312"/>
          <w:sz w:val="32"/>
          <w:szCs w:val="32"/>
          <w:lang w:val="zh-CN"/>
        </w:rPr>
        <w:t>硬件设备维护</w:t>
      </w:r>
    </w:p>
    <w:p w14:paraId="55F49C2A">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信息化平台的硬件设备管理涉及安装、检查、优化、变更和故障处理等多个环节。首先，在硬件设备的安装阶段，需要严格按照技术规范进行，确保所有设备正确连接并配置，以保证平台的稳定运行。随后，</w:t>
      </w:r>
      <w:r>
        <w:rPr>
          <w:rFonts w:hint="eastAsia" w:ascii="仿宋_GB2312" w:hAnsi="宋体" w:eastAsia="仿宋_GB2312"/>
          <w:sz w:val="32"/>
          <w:szCs w:val="32"/>
          <w:lang w:val="zh-CN" w:eastAsia="zh-CN"/>
        </w:rPr>
        <w:t>需要开展</w:t>
      </w:r>
      <w:r>
        <w:rPr>
          <w:rFonts w:hint="eastAsia" w:ascii="仿宋_GB2312" w:hAnsi="宋体" w:eastAsia="仿宋_GB2312"/>
          <w:sz w:val="32"/>
          <w:szCs w:val="32"/>
          <w:lang w:val="zh-CN"/>
        </w:rPr>
        <w:t>定期的检查工作，这包括对服务器、存储设备、网络设施等进行性能监控和物理检查，以预防潜在的故障和性能瓶颈。在优化环节，根据检查结果和性能数据，对硬件配置进行调整，比如升级内存、增加存储容量或</w:t>
      </w:r>
      <w:r>
        <w:rPr>
          <w:rFonts w:hint="eastAsia" w:ascii="仿宋_GB2312" w:hAnsi="宋体" w:eastAsia="仿宋_GB2312"/>
          <w:sz w:val="32"/>
          <w:szCs w:val="32"/>
          <w:lang w:val="zh-CN" w:eastAsia="zh-CN"/>
        </w:rPr>
        <w:t>增加带宽</w:t>
      </w:r>
      <w:r>
        <w:rPr>
          <w:rFonts w:hint="eastAsia" w:ascii="仿宋_GB2312" w:hAnsi="宋体" w:eastAsia="仿宋_GB2312"/>
          <w:sz w:val="32"/>
          <w:szCs w:val="32"/>
          <w:lang w:val="zh-CN"/>
        </w:rPr>
        <w:t>，以提升整体性能和响应速度。硬件的升级或更换都需要经过严格的审批流程，并在变更前后进行详尽的测试，以确保变更不会对现有系统造成负面影响。当硬件故障发生时，</w:t>
      </w:r>
      <w:r>
        <w:rPr>
          <w:rFonts w:hint="eastAsia" w:ascii="仿宋_GB2312" w:hAnsi="宋体" w:eastAsia="仿宋_GB2312"/>
          <w:sz w:val="32"/>
          <w:szCs w:val="32"/>
          <w:lang w:val="zh-CN" w:eastAsia="zh-CN"/>
        </w:rPr>
        <w:t>需要建立</w:t>
      </w:r>
      <w:r>
        <w:rPr>
          <w:rFonts w:hint="eastAsia" w:ascii="仿宋_GB2312" w:hAnsi="宋体" w:eastAsia="仿宋_GB2312"/>
          <w:sz w:val="32"/>
          <w:szCs w:val="32"/>
          <w:lang w:val="zh-CN"/>
        </w:rPr>
        <w:t>快速有效的故障处理机制</w:t>
      </w:r>
      <w:r>
        <w:rPr>
          <w:rFonts w:hint="eastAsia" w:ascii="仿宋_GB2312" w:hAnsi="宋体" w:eastAsia="仿宋_GB2312"/>
          <w:sz w:val="32"/>
          <w:szCs w:val="32"/>
          <w:lang w:val="zh-CN" w:eastAsia="zh-CN"/>
        </w:rPr>
        <w:t>，</w:t>
      </w:r>
      <w:r>
        <w:rPr>
          <w:rFonts w:hint="eastAsia" w:ascii="仿宋_GB2312" w:hAnsi="宋体" w:eastAsia="仿宋_GB2312"/>
          <w:sz w:val="32"/>
          <w:szCs w:val="32"/>
          <w:lang w:val="zh-CN"/>
        </w:rPr>
        <w:t>这要求有一个预先制定的故障响应计划，包括故障诊断、快速定位问题、备用设备切换以及后续的修复或更换。此外，所有硬件设备的维护和操作记录都应详细记录，以便于问题追踪和未来参考。通过这些综合措施，可以确保信息化平台硬件设备的高效、稳定和安全运行。</w:t>
      </w:r>
    </w:p>
    <w:p w14:paraId="2DFD2FD5">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en-US" w:eastAsia="zh-CN"/>
        </w:rPr>
        <w:t>2、</w:t>
      </w:r>
      <w:r>
        <w:rPr>
          <w:rFonts w:hint="eastAsia" w:ascii="仿宋_GB2312" w:hAnsi="宋体" w:eastAsia="仿宋_GB2312"/>
          <w:sz w:val="32"/>
          <w:szCs w:val="32"/>
          <w:lang w:val="zh-CN"/>
        </w:rPr>
        <w:t>基础软件维护</w:t>
      </w:r>
    </w:p>
    <w:p w14:paraId="4E63DB2F">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信息化平台的基础软件维护涉及到操作系统、数据库、中间件等核心软件的定期检查、更新和优化。首先，基础软件的维护需要遵循严格的更新和打补丁流程，以确保系统免受已知安全漏洞的影响。及时</w:t>
      </w:r>
      <w:r>
        <w:rPr>
          <w:rFonts w:hint="eastAsia" w:ascii="仿宋_GB2312" w:hAnsi="宋体" w:eastAsia="仿宋_GB2312"/>
          <w:sz w:val="32"/>
          <w:szCs w:val="32"/>
          <w:lang w:val="zh-CN" w:eastAsia="zh-CN"/>
        </w:rPr>
        <w:t>升级</w:t>
      </w:r>
      <w:r>
        <w:rPr>
          <w:rFonts w:hint="eastAsia" w:ascii="仿宋_GB2312" w:hAnsi="宋体" w:eastAsia="仿宋_GB2312"/>
          <w:sz w:val="32"/>
          <w:szCs w:val="32"/>
          <w:lang w:val="zh-CN"/>
        </w:rPr>
        <w:t>安全补丁和更新，在生产环境部署前在测试环境中进行充分的测试。其次，性能监控和调优是基础软件维护的重要组成部分。通过监控工具实时跟踪系统性能指标，如CPU使用率、内存消耗、磁盘I/O等，可以及时发现性能瓶颈并进行优化。数据备份和恢复策略也是基础软件维护中不可忽视的一环。定期备份关键数据，并验证备份数据的完整性和可恢复性，是防止数据丢失和确保业务连续性的重要措施。</w:t>
      </w:r>
      <w:r>
        <w:rPr>
          <w:rFonts w:hint="eastAsia" w:ascii="仿宋_GB2312" w:hAnsi="宋体" w:eastAsia="仿宋_GB2312"/>
          <w:sz w:val="32"/>
          <w:szCs w:val="32"/>
          <w:lang w:val="zh-CN" w:eastAsia="zh-CN"/>
        </w:rPr>
        <w:t>最后</w:t>
      </w:r>
      <w:r>
        <w:rPr>
          <w:rFonts w:hint="eastAsia" w:ascii="仿宋_GB2312" w:hAnsi="宋体" w:eastAsia="仿宋_GB2312"/>
          <w:sz w:val="32"/>
          <w:szCs w:val="32"/>
          <w:lang w:val="zh-CN"/>
        </w:rPr>
        <w:t>，还需要对基础软件进行定期的健康检查，包括磁盘空间检查、日志文件管理、服务状态检查等，以确保系统运行在最佳状态。在变更管理方面，任何对基础软件的变更都应经过严格的审批和测试流程，以避免对生产环境造成不必要的风险。</w:t>
      </w:r>
    </w:p>
    <w:p w14:paraId="464E2637">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en-US" w:eastAsia="zh-CN"/>
        </w:rPr>
        <w:t>3、</w:t>
      </w:r>
      <w:r>
        <w:rPr>
          <w:rFonts w:hint="eastAsia" w:ascii="仿宋_GB2312" w:hAnsi="宋体" w:eastAsia="仿宋_GB2312"/>
          <w:sz w:val="32"/>
          <w:szCs w:val="32"/>
          <w:lang w:val="zh-CN"/>
        </w:rPr>
        <w:t>数据库维护</w:t>
      </w:r>
    </w:p>
    <w:p w14:paraId="09F1E08C">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数据库维护包括定期执行数据库备份，以防止数据丢失和确保业务连续性。需要监控数据库性能，通过查询优化、索引调整和存储结构优化来提升查询效率。定期检查和清理数据库日志，以识别和解决潜在的性能问题。</w:t>
      </w:r>
      <w:r>
        <w:rPr>
          <w:rFonts w:hint="eastAsia" w:ascii="仿宋_GB2312" w:hAnsi="宋体" w:eastAsia="仿宋_GB2312"/>
          <w:sz w:val="32"/>
          <w:szCs w:val="32"/>
          <w:lang w:val="zh-CN" w:eastAsia="zh-CN"/>
        </w:rPr>
        <w:t>最后</w:t>
      </w:r>
      <w:r>
        <w:rPr>
          <w:rFonts w:hint="eastAsia" w:ascii="仿宋_GB2312" w:hAnsi="宋体" w:eastAsia="仿宋_GB2312"/>
          <w:sz w:val="32"/>
          <w:szCs w:val="32"/>
          <w:lang w:val="zh-CN"/>
        </w:rPr>
        <w:t>，数据库的安全性维护也不可忽视，包括实施访问控制、定期更新安全策略和监控异常活动。通过这些维护措施，可以确保数据库系统的稳定性、安全性和高效性，为信息化平台提供坚实的数据支持。</w:t>
      </w:r>
    </w:p>
    <w:p w14:paraId="5F122C6B">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en-US" w:eastAsia="zh-CN"/>
        </w:rPr>
        <w:t>4</w:t>
      </w:r>
      <w:r>
        <w:rPr>
          <w:rFonts w:hint="eastAsia" w:ascii="仿宋_GB2312" w:hAnsi="宋体" w:eastAsia="仿宋_GB2312"/>
          <w:sz w:val="32"/>
          <w:szCs w:val="32"/>
          <w:lang w:val="zh-CN"/>
        </w:rPr>
        <w:t>、网络和安全设备维护</w:t>
      </w:r>
    </w:p>
    <w:p w14:paraId="5BE9468C">
      <w:pPr>
        <w:ind w:firstLine="640" w:firstLineChars="200"/>
        <w:rPr>
          <w:rFonts w:hint="eastAsia" w:ascii="仿宋_GB2312" w:hAnsi="宋体" w:eastAsia="仿宋_GB2312"/>
          <w:sz w:val="32"/>
          <w:szCs w:val="32"/>
          <w:lang w:val="zh-CN"/>
        </w:rPr>
      </w:pPr>
      <w:r>
        <w:rPr>
          <w:rFonts w:hint="eastAsia" w:ascii="仿宋_GB2312" w:hAnsi="宋体" w:eastAsia="仿宋_GB2312"/>
          <w:sz w:val="32"/>
          <w:szCs w:val="32"/>
          <w:lang w:val="zh-CN"/>
        </w:rPr>
        <w:t>网络和安全设备的维护包括定期检查网络设备如路由器、交换机、防火墙等，以确保它们正常运行。维护工作也涉及到定期更新设备的固件和软件，以提高系统的安全性和稳定性。建立网络设备的备份对于快速恢复在出现故障时至关重要。在安全设备方面，维护工作包括定期更新安全补丁，及时修复漏洞，以防止病毒攻击和黑客入侵。设立防火墙来阻挡非法入侵和恶意攻击，使用强密码并定期更换，以及限制用户的访问权限，都是维护安全的重要组成部分。配置访问控制列表，限制无关人员的访问权限，以及监控网络设备的日志信息，及时发现异常情况，对于保障网络安全同样重要。</w:t>
      </w:r>
    </w:p>
    <w:p w14:paraId="31035C49">
      <w:pPr>
        <w:pStyle w:val="29"/>
        <w:numPr>
          <w:ilvl w:val="0"/>
          <w:numId w:val="10"/>
        </w:numPr>
        <w:autoSpaceDE w:val="0"/>
        <w:autoSpaceDN w:val="0"/>
        <w:adjustRightInd w:val="0"/>
        <w:spacing w:before="156" w:beforeLines="50" w:after="156" w:afterLines="50" w:line="560" w:lineRule="exact"/>
        <w:ind w:firstLineChars="0"/>
        <w:jc w:val="left"/>
        <w:rPr>
          <w:rFonts w:hint="eastAsia" w:ascii="仿宋_GB2312" w:hAnsi="宋体" w:eastAsia="仿宋_GB2312"/>
          <w:b/>
          <w:sz w:val="32"/>
          <w:szCs w:val="32"/>
          <w:lang w:val="zh-CN"/>
        </w:rPr>
      </w:pPr>
      <w:r>
        <w:rPr>
          <w:rFonts w:hint="eastAsia" w:ascii="仿宋_GB2312" w:hAnsi="宋体" w:eastAsia="仿宋_GB2312"/>
          <w:b/>
          <w:sz w:val="32"/>
          <w:szCs w:val="32"/>
          <w:lang w:val="zh-CN"/>
        </w:rPr>
        <w:t>安全管理</w:t>
      </w:r>
    </w:p>
    <w:p w14:paraId="6A6FEA3B">
      <w:pPr>
        <w:spacing w:line="560" w:lineRule="exact"/>
        <w:ind w:firstLine="640" w:firstLineChars="200"/>
        <w:rPr>
          <w:rFonts w:hint="default" w:ascii="仿宋_GB2312" w:hAnsi="宋体" w:eastAsia="仿宋_GB2312"/>
          <w:sz w:val="32"/>
          <w:szCs w:val="28"/>
          <w:lang w:val="en-US" w:eastAsia="zh-CN"/>
        </w:rPr>
      </w:pPr>
      <w:r>
        <w:rPr>
          <w:rFonts w:hint="eastAsia" w:ascii="仿宋_GB2312" w:hAnsi="宋体" w:eastAsia="仿宋_GB2312"/>
          <w:sz w:val="32"/>
          <w:szCs w:val="28"/>
          <w:lang w:val="en-US" w:eastAsia="zh-CN"/>
        </w:rPr>
        <w:t>包括</w:t>
      </w:r>
      <w:r>
        <w:rPr>
          <w:rFonts w:hint="eastAsia" w:ascii="仿宋_GB2312" w:hAnsi="宋体" w:eastAsia="仿宋_GB2312"/>
          <w:sz w:val="32"/>
          <w:szCs w:val="28"/>
        </w:rPr>
        <w:t>信息系统安全等级保护</w:t>
      </w:r>
      <w:r>
        <w:rPr>
          <w:rFonts w:hint="eastAsia" w:ascii="仿宋_GB2312" w:hAnsi="宋体" w:eastAsia="仿宋_GB2312"/>
          <w:sz w:val="32"/>
          <w:szCs w:val="28"/>
          <w:lang w:eastAsia="zh-CN"/>
        </w:rPr>
        <w:t>、风险评估、安全机制和策略、安全监控、安全响应机制、安全预警发布机制</w:t>
      </w:r>
      <w:r>
        <w:rPr>
          <w:rFonts w:hint="eastAsia" w:ascii="仿宋_GB2312" w:hAnsi="宋体" w:eastAsia="仿宋_GB2312"/>
          <w:sz w:val="32"/>
          <w:szCs w:val="28"/>
          <w:lang w:val="en-US" w:eastAsia="zh-CN"/>
        </w:rPr>
        <w:t>等方面的管理，内容主要参照《DA∕T 56-2014 档案信息系统运行维护规范》中第七章的相关内容进行。</w:t>
      </w:r>
    </w:p>
    <w:p w14:paraId="47E8E0C0">
      <w:pPr>
        <w:pStyle w:val="29"/>
        <w:numPr>
          <w:ilvl w:val="0"/>
          <w:numId w:val="10"/>
        </w:numPr>
        <w:autoSpaceDE w:val="0"/>
        <w:autoSpaceDN w:val="0"/>
        <w:adjustRightInd w:val="0"/>
        <w:spacing w:before="156" w:beforeLines="50" w:after="156" w:afterLines="50" w:line="560" w:lineRule="exact"/>
        <w:ind w:firstLineChars="0"/>
        <w:jc w:val="left"/>
        <w:rPr>
          <w:rFonts w:hint="eastAsia" w:ascii="仿宋_GB2312" w:hAnsi="宋体" w:eastAsia="仿宋_GB2312"/>
          <w:b/>
          <w:sz w:val="32"/>
          <w:szCs w:val="32"/>
          <w:lang w:val="zh-CN" w:eastAsia="zh-CN"/>
        </w:rPr>
      </w:pPr>
      <w:r>
        <w:rPr>
          <w:rFonts w:hint="eastAsia" w:ascii="仿宋_GB2312" w:hAnsi="宋体" w:eastAsia="仿宋_GB2312"/>
          <w:b/>
          <w:sz w:val="32"/>
          <w:szCs w:val="32"/>
          <w:lang w:val="zh-CN" w:eastAsia="zh-CN"/>
        </w:rPr>
        <w:t>检查和改进</w:t>
      </w:r>
    </w:p>
    <w:p w14:paraId="3593C21A">
      <w:pPr>
        <w:spacing w:line="560" w:lineRule="exact"/>
        <w:ind w:firstLine="640" w:firstLineChars="200"/>
        <w:rPr>
          <w:rFonts w:hint="eastAsia" w:ascii="仿宋_GB2312" w:hAnsi="宋体" w:eastAsia="仿宋_GB2312"/>
          <w:sz w:val="32"/>
          <w:szCs w:val="28"/>
          <w:lang w:val="en-US" w:eastAsia="zh-CN"/>
        </w:rPr>
      </w:pPr>
      <w:r>
        <w:rPr>
          <w:rFonts w:hint="eastAsia" w:ascii="仿宋_GB2312" w:hAnsi="宋体" w:eastAsia="仿宋_GB2312"/>
          <w:sz w:val="32"/>
          <w:szCs w:val="28"/>
          <w:lang w:val="en-US" w:eastAsia="zh-CN"/>
        </w:rPr>
        <w:t>主要参照《DA∕T 56-2014 档案信息系统运行维护规范》中的第8章和第9章相关内容进行。</w:t>
      </w:r>
    </w:p>
    <w:p w14:paraId="2A650F5B">
      <w:pPr>
        <w:spacing w:line="560" w:lineRule="exact"/>
        <w:ind w:firstLine="640" w:firstLineChars="200"/>
        <w:rPr>
          <w:rFonts w:hint="eastAsia" w:ascii="仿宋_GB2312" w:hAnsi="宋体" w:eastAsia="仿宋_GB2312"/>
          <w:sz w:val="32"/>
          <w:szCs w:val="28"/>
          <w:lang w:val="en-US" w:eastAsia="zh-CN"/>
        </w:rPr>
      </w:pPr>
    </w:p>
    <w:p w14:paraId="3664AA35">
      <w:pPr>
        <w:spacing w:line="560" w:lineRule="exact"/>
        <w:ind w:firstLine="640" w:firstLineChars="200"/>
        <w:rPr>
          <w:rFonts w:hint="eastAsia" w:ascii="仿宋_GB2312" w:hAnsi="宋体" w:eastAsia="仿宋_GB2312"/>
          <w:sz w:val="32"/>
          <w:szCs w:val="28"/>
          <w:lang w:val="en-US" w:eastAsia="zh-CN"/>
        </w:rPr>
      </w:pPr>
    </w:p>
    <w:p w14:paraId="412D30FF">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bookmarkStart w:id="2" w:name="_Toc526940086"/>
      <w:r>
        <w:rPr>
          <w:rFonts w:hint="eastAsia" w:ascii="黑体" w:hAnsi="黑体" w:eastAsia="黑体" w:cs="仿宋_GB2312"/>
          <w:sz w:val="32"/>
          <w:szCs w:val="32"/>
        </w:rPr>
        <w:t>六、</w:t>
      </w:r>
      <w:bookmarkEnd w:id="2"/>
      <w:r>
        <w:rPr>
          <w:rFonts w:hint="eastAsia" w:ascii="黑体" w:hAnsi="黑体" w:eastAsia="黑体" w:cs="仿宋_GB2312"/>
          <w:sz w:val="32"/>
          <w:szCs w:val="32"/>
        </w:rPr>
        <w:t>重大分歧意见的处理经过和依据</w:t>
      </w:r>
    </w:p>
    <w:p w14:paraId="7DBD7D8D">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本标准研制过程中无重大分歧意见。</w:t>
      </w:r>
    </w:p>
    <w:p w14:paraId="69867F09">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七</w:t>
      </w:r>
      <w:r>
        <w:rPr>
          <w:rFonts w:ascii="黑体" w:hAnsi="黑体" w:eastAsia="黑体" w:cs="仿宋_GB2312"/>
          <w:sz w:val="32"/>
          <w:szCs w:val="32"/>
        </w:rPr>
        <w:t>、</w:t>
      </w:r>
      <w:r>
        <w:rPr>
          <w:rFonts w:hint="eastAsia" w:ascii="黑体" w:hAnsi="黑体" w:eastAsia="黑体" w:cs="仿宋_GB2312"/>
          <w:sz w:val="32"/>
          <w:szCs w:val="32"/>
        </w:rPr>
        <w:t>实施标准的措施</w:t>
      </w:r>
    </w:p>
    <w:p w14:paraId="67C45D00">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（一）标准报批发布后，成立标准宣贯工作组</w:t>
      </w:r>
    </w:p>
    <w:p w14:paraId="7330B5F1">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2EC0E2CD">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（二）组织开展标准宣贯培训</w:t>
      </w:r>
    </w:p>
    <w:p w14:paraId="38C99CE1">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9942561">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（三）开展标准实施交流会，收集标准实施反馈信息</w:t>
      </w:r>
    </w:p>
    <w:p w14:paraId="336AB236">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1F438F65">
      <w:pPr>
        <w:spacing w:line="560" w:lineRule="exact"/>
        <w:ind w:firstLine="643" w:firstLineChars="200"/>
        <w:rPr>
          <w:rFonts w:ascii="仿宋_GB2312" w:hAnsi="宋体" w:eastAsia="仿宋_GB2312"/>
          <w:b/>
          <w:sz w:val="32"/>
          <w:szCs w:val="28"/>
        </w:rPr>
      </w:pPr>
      <w:r>
        <w:rPr>
          <w:rFonts w:hint="eastAsia" w:ascii="仿宋_GB2312" w:hAnsi="宋体" w:eastAsia="仿宋_GB2312"/>
          <w:b/>
          <w:sz w:val="32"/>
          <w:szCs w:val="28"/>
        </w:rPr>
        <w:t>（四）开展标准实施效果评估</w:t>
      </w:r>
    </w:p>
    <w:p w14:paraId="7DE0DDFE">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6B16457">
      <w:pPr>
        <w:autoSpaceDE w:val="0"/>
        <w:autoSpaceDN w:val="0"/>
        <w:adjustRightInd w:val="0"/>
        <w:spacing w:before="156" w:beforeLines="50" w:after="156" w:afterLines="50" w:line="560" w:lineRule="exact"/>
        <w:ind w:firstLine="640" w:firstLineChars="200"/>
        <w:jc w:val="left"/>
        <w:rPr>
          <w:rFonts w:ascii="黑体" w:hAnsi="黑体" w:eastAsia="黑体" w:cs="仿宋_GB2312"/>
          <w:sz w:val="32"/>
          <w:szCs w:val="32"/>
        </w:rPr>
      </w:pPr>
      <w:r>
        <w:rPr>
          <w:rFonts w:hint="eastAsia" w:ascii="黑体" w:hAnsi="黑体" w:eastAsia="黑体" w:cs="仿宋_GB2312"/>
          <w:sz w:val="32"/>
          <w:szCs w:val="32"/>
        </w:rPr>
        <w:t>八、其他应当说明的事项</w:t>
      </w:r>
    </w:p>
    <w:p w14:paraId="23A53EB2">
      <w:pPr>
        <w:spacing w:line="560" w:lineRule="exact"/>
        <w:ind w:firstLine="640" w:firstLineChars="200"/>
        <w:rPr>
          <w:rFonts w:ascii="仿宋_GB2312" w:hAnsi="宋体" w:eastAsia="仿宋_GB2312"/>
          <w:sz w:val="32"/>
          <w:szCs w:val="28"/>
        </w:rPr>
      </w:pPr>
      <w:r>
        <w:rPr>
          <w:rFonts w:hint="eastAsia" w:ascii="仿宋_GB2312" w:hAnsi="宋体" w:eastAsia="仿宋_GB2312"/>
          <w:sz w:val="32"/>
          <w:szCs w:val="28"/>
        </w:rPr>
        <w:t>无。</w:t>
      </w:r>
    </w:p>
    <w:p w14:paraId="1562F1AF">
      <w:pPr>
        <w:spacing w:line="560" w:lineRule="exact"/>
        <w:rPr>
          <w:rFonts w:ascii="仿宋_GB2312" w:hAnsi="仿宋" w:eastAsia="仿宋_GB2312"/>
          <w:bCs/>
          <w:color w:val="000000"/>
          <w:sz w:val="36"/>
          <w:szCs w:val="32"/>
        </w:rPr>
      </w:pPr>
    </w:p>
    <w:p w14:paraId="0FDE70D6">
      <w:pPr>
        <w:spacing w:line="560" w:lineRule="exact"/>
        <w:rPr>
          <w:rFonts w:ascii="仿宋_GB2312" w:hAnsi="仿宋" w:eastAsia="仿宋_GB2312"/>
          <w:bCs/>
          <w:color w:val="000000"/>
          <w:sz w:val="36"/>
          <w:szCs w:val="32"/>
        </w:rPr>
      </w:pPr>
    </w:p>
    <w:p w14:paraId="639B864D">
      <w:pPr>
        <w:wordWrap w:val="0"/>
        <w:spacing w:line="560" w:lineRule="exact"/>
        <w:jc w:val="right"/>
        <w:rPr>
          <w:rFonts w:ascii="仿宋_GB2312" w:hAnsi="宋体" w:eastAsia="仿宋_GB2312"/>
          <w:sz w:val="32"/>
          <w:szCs w:val="28"/>
        </w:rPr>
      </w:pPr>
      <w:r>
        <w:rPr>
          <w:rFonts w:hint="eastAsia" w:ascii="仿宋_GB2312" w:hAnsi="宋体" w:eastAsia="仿宋_GB2312"/>
          <w:sz w:val="32"/>
          <w:szCs w:val="28"/>
        </w:rPr>
        <w:t xml:space="preserve"> 团体标准《甘蔗种质资源信息平台运行维护管理规范》</w:t>
      </w:r>
    </w:p>
    <w:p w14:paraId="607C1987">
      <w:pPr>
        <w:wordWrap w:val="0"/>
        <w:spacing w:line="560" w:lineRule="exact"/>
        <w:jc w:val="right"/>
        <w:rPr>
          <w:rFonts w:ascii="仿宋_GB2312" w:hAnsi="宋体" w:eastAsia="仿宋_GB2312"/>
          <w:sz w:val="32"/>
          <w:szCs w:val="28"/>
        </w:rPr>
      </w:pPr>
      <w:r>
        <w:rPr>
          <w:rFonts w:hint="eastAsia" w:ascii="仿宋_GB2312" w:hAnsi="宋体" w:eastAsia="仿宋_GB2312"/>
          <w:sz w:val="32"/>
          <w:szCs w:val="28"/>
        </w:rPr>
        <w:t xml:space="preserve">标准编制工作组 </w:t>
      </w:r>
      <w:r>
        <w:rPr>
          <w:rFonts w:ascii="仿宋_GB2312" w:hAnsi="宋体" w:eastAsia="仿宋_GB2312"/>
          <w:sz w:val="32"/>
          <w:szCs w:val="28"/>
        </w:rPr>
        <w:t xml:space="preserve">        </w:t>
      </w:r>
    </w:p>
    <w:p w14:paraId="13EC3CEB">
      <w:pPr>
        <w:wordWrap w:val="0"/>
        <w:spacing w:line="560" w:lineRule="exact"/>
        <w:jc w:val="right"/>
        <w:rPr>
          <w:rFonts w:ascii="仿宋_GB2312" w:hAnsi="宋体" w:eastAsia="仿宋_GB2312"/>
          <w:color w:val="auto"/>
          <w:sz w:val="32"/>
          <w:szCs w:val="28"/>
        </w:rPr>
      </w:pPr>
      <w:r>
        <w:rPr>
          <w:rFonts w:hint="eastAsia" w:ascii="仿宋_GB2312" w:hAnsi="宋体" w:eastAsia="仿宋_GB2312"/>
          <w:color w:val="auto"/>
          <w:sz w:val="32"/>
          <w:szCs w:val="28"/>
        </w:rPr>
        <w:t>202</w:t>
      </w:r>
      <w:r>
        <w:rPr>
          <w:rFonts w:ascii="仿宋_GB2312" w:hAnsi="宋体" w:eastAsia="仿宋_GB2312"/>
          <w:color w:val="auto"/>
          <w:sz w:val="32"/>
          <w:szCs w:val="28"/>
        </w:rPr>
        <w:t>4</w:t>
      </w:r>
      <w:r>
        <w:rPr>
          <w:rFonts w:hint="eastAsia" w:ascii="仿宋_GB2312" w:hAnsi="宋体" w:eastAsia="仿宋_GB2312"/>
          <w:color w:val="auto"/>
          <w:sz w:val="32"/>
          <w:szCs w:val="28"/>
        </w:rPr>
        <w:t>年</w:t>
      </w:r>
      <w:r>
        <w:rPr>
          <w:rFonts w:ascii="仿宋_GB2312" w:hAnsi="宋体" w:eastAsia="仿宋_GB2312"/>
          <w:color w:val="auto"/>
          <w:sz w:val="32"/>
          <w:szCs w:val="28"/>
        </w:rPr>
        <w:t>1</w:t>
      </w:r>
      <w:r>
        <w:rPr>
          <w:rFonts w:hint="eastAsia" w:ascii="仿宋_GB2312" w:hAnsi="宋体" w:eastAsia="仿宋_GB2312"/>
          <w:color w:val="auto"/>
          <w:sz w:val="32"/>
          <w:szCs w:val="28"/>
          <w:lang w:val="en-US" w:eastAsia="zh-CN"/>
        </w:rPr>
        <w:t>2</w:t>
      </w:r>
      <w:r>
        <w:rPr>
          <w:rFonts w:hint="eastAsia" w:ascii="仿宋_GB2312" w:hAnsi="宋体" w:eastAsia="仿宋_GB2312"/>
          <w:color w:val="auto"/>
          <w:sz w:val="32"/>
          <w:szCs w:val="28"/>
        </w:rPr>
        <w:t>月</w:t>
      </w:r>
      <w:r>
        <w:rPr>
          <w:rFonts w:hint="eastAsia" w:ascii="仿宋_GB2312" w:hAnsi="宋体" w:eastAsia="仿宋_GB2312"/>
          <w:color w:val="auto"/>
          <w:sz w:val="32"/>
          <w:szCs w:val="28"/>
          <w:lang w:val="en-US" w:eastAsia="zh-CN"/>
        </w:rPr>
        <w:t>1</w:t>
      </w:r>
      <w:bookmarkStart w:id="3" w:name="_GoBack"/>
      <w:bookmarkEnd w:id="3"/>
      <w:r>
        <w:rPr>
          <w:rFonts w:hint="eastAsia" w:ascii="仿宋_GB2312" w:hAnsi="宋体" w:eastAsia="仿宋_GB2312"/>
          <w:color w:val="auto"/>
          <w:sz w:val="32"/>
          <w:szCs w:val="28"/>
          <w:lang w:val="en-US" w:eastAsia="zh-CN"/>
        </w:rPr>
        <w:t>5</w:t>
      </w:r>
      <w:r>
        <w:rPr>
          <w:rFonts w:hint="eastAsia" w:ascii="仿宋_GB2312" w:hAnsi="宋体" w:eastAsia="仿宋_GB2312"/>
          <w:color w:val="auto"/>
          <w:sz w:val="32"/>
          <w:szCs w:val="28"/>
        </w:rPr>
        <w:t xml:space="preserve">日       </w:t>
      </w:r>
      <w:r>
        <w:rPr>
          <w:rFonts w:ascii="仿宋_GB2312" w:hAnsi="宋体" w:eastAsia="仿宋_GB2312"/>
          <w:color w:val="auto"/>
          <w:sz w:val="32"/>
          <w:szCs w:val="28"/>
        </w:rPr>
        <w:t xml:space="preserve"> </w:t>
      </w:r>
    </w:p>
    <w:sectPr>
      <w:footerReference r:id="rId3" w:type="default"/>
      <w:pgSz w:w="11906" w:h="16838"/>
      <w:pgMar w:top="1474" w:right="1474" w:bottom="1474"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新宋体">
    <w:panose1 w:val="02010609030101010101"/>
    <w:charset w:val="86"/>
    <w:family w:val="modern"/>
    <w:pitch w:val="default"/>
    <w:sig w:usb0="00000203" w:usb1="288F0000" w:usb2="00000006" w:usb3="00000000" w:csb0="00040001" w:csb1="00000000"/>
  </w:font>
  <w:font w:name="@黑体">
    <w:panose1 w:val="02010609060101010101"/>
    <w:charset w:val="86"/>
    <w:family w:val="auto"/>
    <w:pitch w:val="fixed"/>
    <w:sig w:usb0="800002BF" w:usb1="38CF7CFA" w:usb2="00000016" w:usb3="00000000" w:csb0="00040001" w:csb1="00000000"/>
  </w:font>
  <w:font w:name="Cambria Math">
    <w:panose1 w:val="02040503050406030204"/>
    <w:charset w:val="00"/>
    <w:family w:val="auto"/>
    <w:pitch w:val="variable"/>
    <w:sig w:usb0="E00006FF" w:usb1="420024FF" w:usb2="02000000" w:usb3="00000000" w:csb0="2000019F" w:csb1="00000000"/>
  </w:font>
  <w:font w:name="@宋体">
    <w:panose1 w:val="02010600030101010101"/>
    <w:charset w:val="86"/>
    <w:family w:val="auto"/>
    <w:pitch w:val="variable"/>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docPartObj>
        <w:docPartGallery w:val="autotext"/>
      </w:docPartObj>
    </w:sdtPr>
    <w:sdtContent>
      <w:p w14:paraId="2BE1229F">
        <w:pPr>
          <w:pStyle w:val="3"/>
          <w:jc w:val="center"/>
        </w:pPr>
        <w:r>
          <w:fldChar w:fldCharType="begin"/>
        </w:r>
        <w:r>
          <w:instrText xml:space="preserve">PAGE   \* MERGEFORMAT</w:instrText>
        </w:r>
        <w:r>
          <w:fldChar w:fldCharType="separate"/>
        </w:r>
        <w:r>
          <w:rPr>
            <w:lang w:val="zh-CN"/>
          </w:rPr>
          <w:t>7</w:t>
        </w:r>
        <w:r>
          <w:fldChar w:fldCharType="end"/>
        </w:r>
      </w:p>
    </w:sdtContent>
  </w:sdt>
  <w:p w14:paraId="76F9E80E">
    <w:pPr>
      <w:pStyle w:val="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0"/>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4"/>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20F0D74"/>
    <w:multiLevelType w:val="multilevel"/>
    <w:tmpl w:val="120F0D74"/>
    <w:lvl w:ilvl="0" w:tentative="0">
      <w:start w:val="1"/>
      <w:numFmt w:val="japaneseCounting"/>
      <w:lvlText w:val="（%1）"/>
      <w:lvlJc w:val="left"/>
      <w:pPr>
        <w:ind w:left="1005" w:hanging="100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DBF583A"/>
    <w:multiLevelType w:val="multilevel"/>
    <w:tmpl w:val="1DBF583A"/>
    <w:lvl w:ilvl="0" w:tentative="0">
      <w:start w:val="1"/>
      <w:numFmt w:val="decimal"/>
      <w:pStyle w:val="23"/>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4">
    <w:nsid w:val="1FC91163"/>
    <w:multiLevelType w:val="multilevel"/>
    <w:tmpl w:val="1FC91163"/>
    <w:lvl w:ilvl="0" w:tentative="0">
      <w:start w:val="1"/>
      <w:numFmt w:val="decimal"/>
      <w:pStyle w:val="15"/>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4"/>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6"/>
      <w:suff w:val="nothing"/>
      <w:lvlText w:val="%1.%2.%3　"/>
      <w:lvlJc w:val="left"/>
      <w:pPr>
        <w:ind w:left="0" w:firstLine="0"/>
      </w:pPr>
      <w:rPr>
        <w:rFonts w:hint="eastAsia" w:ascii="黑体" w:hAnsi="Times New Roman" w:eastAsia="黑体"/>
        <w:b w:val="0"/>
        <w:i w:val="0"/>
        <w:sz w:val="21"/>
      </w:rPr>
    </w:lvl>
    <w:lvl w:ilvl="3" w:tentative="0">
      <w:start w:val="1"/>
      <w:numFmt w:val="decimal"/>
      <w:pStyle w:val="17"/>
      <w:suff w:val="nothing"/>
      <w:lvlText w:val="%1.%2.%3.%4　"/>
      <w:lvlJc w:val="left"/>
      <w:pPr>
        <w:ind w:left="0" w:firstLine="0"/>
      </w:pPr>
      <w:rPr>
        <w:rFonts w:hint="eastAsia" w:ascii="黑体" w:hAnsi="Times New Roman" w:eastAsia="黑体"/>
        <w:b w:val="0"/>
        <w:i w:val="0"/>
        <w:sz w:val="21"/>
      </w:rPr>
    </w:lvl>
    <w:lvl w:ilvl="4" w:tentative="0">
      <w:start w:val="1"/>
      <w:numFmt w:val="decimal"/>
      <w:pStyle w:val="18"/>
      <w:suff w:val="nothing"/>
      <w:lvlText w:val="%1.%2.%3.%4.%5　"/>
      <w:lvlJc w:val="left"/>
      <w:pPr>
        <w:ind w:left="0" w:firstLine="0"/>
      </w:pPr>
      <w:rPr>
        <w:rFonts w:hint="eastAsia" w:ascii="黑体" w:hAnsi="Times New Roman" w:eastAsia="黑体"/>
        <w:b w:val="0"/>
        <w:i w:val="0"/>
        <w:sz w:val="21"/>
      </w:rPr>
    </w:lvl>
    <w:lvl w:ilvl="5" w:tentative="0">
      <w:start w:val="1"/>
      <w:numFmt w:val="decimal"/>
      <w:pStyle w:val="19"/>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5">
    <w:nsid w:val="2A8F7113"/>
    <w:multiLevelType w:val="multilevel"/>
    <w:tmpl w:val="2A8F7113"/>
    <w:lvl w:ilvl="0" w:tentative="0">
      <w:start w:val="1"/>
      <w:numFmt w:val="upperLetter"/>
      <w:pStyle w:val="21"/>
      <w:suff w:val="space"/>
      <w:lvlText w:val="%1"/>
      <w:lvlJc w:val="left"/>
      <w:pPr>
        <w:ind w:left="623" w:hanging="425"/>
      </w:pPr>
      <w:rPr>
        <w:rFonts w:hint="eastAsia"/>
      </w:rPr>
    </w:lvl>
    <w:lvl w:ilvl="1" w:tentative="0">
      <w:start w:val="1"/>
      <w:numFmt w:val="decimal"/>
      <w:pStyle w:val="22"/>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6">
    <w:nsid w:val="557C2AF5"/>
    <w:multiLevelType w:val="multilevel"/>
    <w:tmpl w:val="557C2AF5"/>
    <w:lvl w:ilvl="0" w:tentative="0">
      <w:start w:val="1"/>
      <w:numFmt w:val="decimal"/>
      <w:pStyle w:val="13"/>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28"/>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12"/>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9">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8"/>
      <w:suff w:val="nothing"/>
      <w:lvlText w:val="%1%2　"/>
      <w:lvlJc w:val="left"/>
      <w:pPr>
        <w:ind w:left="0" w:firstLine="0"/>
      </w:pPr>
      <w:rPr>
        <w:rFonts w:hint="eastAsia" w:ascii="黑体" w:eastAsia="黑体"/>
        <w:b w:val="0"/>
        <w:i w:val="0"/>
        <w:sz w:val="21"/>
      </w:rPr>
    </w:lvl>
    <w:lvl w:ilvl="2" w:tentative="0">
      <w:start w:val="1"/>
      <w:numFmt w:val="decimal"/>
      <w:pStyle w:val="37"/>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8"/>
  </w:num>
  <w:num w:numId="2">
    <w:abstractNumId w:val="6"/>
  </w:num>
  <w:num w:numId="3">
    <w:abstractNumId w:val="4"/>
  </w:num>
  <w:num w:numId="4">
    <w:abstractNumId w:val="0"/>
  </w:num>
  <w:num w:numId="5">
    <w:abstractNumId w:val="5"/>
  </w:num>
  <w:num w:numId="6">
    <w:abstractNumId w:val="3"/>
  </w:num>
  <w:num w:numId="7">
    <w:abstractNumId w:val="1"/>
  </w:num>
  <w:num w:numId="8">
    <w:abstractNumId w:val="7"/>
  </w:num>
  <w:num w:numId="9">
    <w:abstractNumId w:val="9"/>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kyMDFmZTBlNTQ5MGM0YTA0MzQ2Y2Y5ODE1OGMxMWQifQ=="/>
  </w:docVars>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391D"/>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079D3"/>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33FF"/>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42F0"/>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39E595D"/>
    <w:rsid w:val="070F07F6"/>
    <w:rsid w:val="08083403"/>
    <w:rsid w:val="09BE5E2A"/>
    <w:rsid w:val="0A091F73"/>
    <w:rsid w:val="0A8504E9"/>
    <w:rsid w:val="0D92619C"/>
    <w:rsid w:val="0F412CA9"/>
    <w:rsid w:val="0F6B0AEA"/>
    <w:rsid w:val="0FD566D2"/>
    <w:rsid w:val="13B2170D"/>
    <w:rsid w:val="13B97480"/>
    <w:rsid w:val="14034EB5"/>
    <w:rsid w:val="14870494"/>
    <w:rsid w:val="15085E8C"/>
    <w:rsid w:val="15174F60"/>
    <w:rsid w:val="1556095A"/>
    <w:rsid w:val="167D7F24"/>
    <w:rsid w:val="17306AB5"/>
    <w:rsid w:val="17373F64"/>
    <w:rsid w:val="19A054D6"/>
    <w:rsid w:val="1B0717C8"/>
    <w:rsid w:val="1BE33681"/>
    <w:rsid w:val="1CA10E84"/>
    <w:rsid w:val="21862EC6"/>
    <w:rsid w:val="237A2B2A"/>
    <w:rsid w:val="265A102C"/>
    <w:rsid w:val="2C4F36F5"/>
    <w:rsid w:val="2C917C2E"/>
    <w:rsid w:val="2D5F22BD"/>
    <w:rsid w:val="2FF37D11"/>
    <w:rsid w:val="3013049D"/>
    <w:rsid w:val="332C3D99"/>
    <w:rsid w:val="365875C5"/>
    <w:rsid w:val="375B5CD5"/>
    <w:rsid w:val="39356049"/>
    <w:rsid w:val="3B4262F3"/>
    <w:rsid w:val="3B4E60E4"/>
    <w:rsid w:val="3BFE2074"/>
    <w:rsid w:val="3F8C7277"/>
    <w:rsid w:val="3FA0222F"/>
    <w:rsid w:val="42D769B6"/>
    <w:rsid w:val="44F600D3"/>
    <w:rsid w:val="45617704"/>
    <w:rsid w:val="48B048DB"/>
    <w:rsid w:val="4B8C0594"/>
    <w:rsid w:val="4C0F7B1B"/>
    <w:rsid w:val="4CFE380A"/>
    <w:rsid w:val="4D862B8C"/>
    <w:rsid w:val="4DFF35F5"/>
    <w:rsid w:val="4EF47599"/>
    <w:rsid w:val="4FE3578A"/>
    <w:rsid w:val="54E94B5B"/>
    <w:rsid w:val="55661639"/>
    <w:rsid w:val="55761622"/>
    <w:rsid w:val="59123549"/>
    <w:rsid w:val="5BD857FA"/>
    <w:rsid w:val="5C080481"/>
    <w:rsid w:val="5E202145"/>
    <w:rsid w:val="5F621BCD"/>
    <w:rsid w:val="6031647B"/>
    <w:rsid w:val="62F74A7A"/>
    <w:rsid w:val="659550EE"/>
    <w:rsid w:val="668E2223"/>
    <w:rsid w:val="683026D9"/>
    <w:rsid w:val="693F388B"/>
    <w:rsid w:val="6DBA21A1"/>
    <w:rsid w:val="73731F46"/>
    <w:rsid w:val="750C673B"/>
    <w:rsid w:val="75CB34BA"/>
    <w:rsid w:val="78AF3D07"/>
    <w:rsid w:val="796B1FFD"/>
    <w:rsid w:val="7AF5051C"/>
    <w:rsid w:val="7BBA680A"/>
    <w:rsid w:val="7BE826AE"/>
    <w:rsid w:val="7CCF532E"/>
    <w:rsid w:val="7E0033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2">
    <w:name w:val="Balloon Text"/>
    <w:basedOn w:val="1"/>
    <w:link w:val="35"/>
    <w:semiHidden/>
    <w:unhideWhenUsed/>
    <w:qFormat/>
    <w:uiPriority w:val="0"/>
    <w:rPr>
      <w:sz w:val="18"/>
      <w:szCs w:val="18"/>
    </w:rPr>
  </w:style>
  <w:style w:type="paragraph" w:styleId="3">
    <w:name w:val="footer"/>
    <w:basedOn w:val="1"/>
    <w:link w:val="27"/>
    <w:qFormat/>
    <w:uiPriority w:val="99"/>
    <w:pPr>
      <w:tabs>
        <w:tab w:val="center" w:pos="4153"/>
        <w:tab w:val="right" w:pos="8306"/>
      </w:tabs>
      <w:snapToGrid w:val="0"/>
      <w:jc w:val="left"/>
    </w:pPr>
    <w:rPr>
      <w:sz w:val="18"/>
      <w:szCs w:val="18"/>
    </w:rPr>
  </w:style>
  <w:style w:type="paragraph" w:styleId="4">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spacing w:before="100" w:beforeAutospacing="1" w:after="100" w:afterAutospacing="1"/>
      <w:jc w:val="left"/>
    </w:pPr>
    <w:rPr>
      <w:kern w:val="0"/>
      <w:sz w:val="24"/>
    </w:rPr>
  </w:style>
  <w:style w:type="table" w:styleId="7">
    <w:name w:val="Table Grid"/>
    <w:basedOn w:val="6"/>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
    <w:name w:val="Hyperlink"/>
    <w:basedOn w:val="8"/>
    <w:unhideWhenUsed/>
    <w:qFormat/>
    <w:uiPriority w:val="99"/>
    <w:rPr>
      <w:color w:val="0000FF"/>
      <w:u w:val="single"/>
    </w:rPr>
  </w:style>
  <w:style w:type="paragraph" w:customStyle="1" w:styleId="10">
    <w:name w:val="段"/>
    <w:link w:val="25"/>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1">
    <w:name w:val="正文表标题"/>
    <w:next w:val="10"/>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2">
    <w:name w:val="正文图标题"/>
    <w:next w:val="10"/>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3">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4">
    <w:name w:val="一级条标题"/>
    <w:next w:val="10"/>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5">
    <w:name w:val="章标题"/>
    <w:next w:val="10"/>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6">
    <w:name w:val="二级条标题"/>
    <w:basedOn w:val="14"/>
    <w:next w:val="10"/>
    <w:qFormat/>
    <w:uiPriority w:val="0"/>
    <w:pPr>
      <w:numPr>
        <w:ilvl w:val="2"/>
      </w:numPr>
      <w:spacing w:before="50" w:after="50"/>
      <w:outlineLvl w:val="3"/>
    </w:pPr>
  </w:style>
  <w:style w:type="paragraph" w:customStyle="1" w:styleId="17">
    <w:name w:val="三级条标题"/>
    <w:basedOn w:val="16"/>
    <w:next w:val="10"/>
    <w:qFormat/>
    <w:uiPriority w:val="0"/>
    <w:pPr>
      <w:numPr>
        <w:ilvl w:val="3"/>
      </w:numPr>
      <w:outlineLvl w:val="4"/>
    </w:pPr>
  </w:style>
  <w:style w:type="paragraph" w:customStyle="1" w:styleId="18">
    <w:name w:val="四级条标题"/>
    <w:basedOn w:val="17"/>
    <w:next w:val="10"/>
    <w:qFormat/>
    <w:uiPriority w:val="0"/>
    <w:pPr>
      <w:numPr>
        <w:ilvl w:val="4"/>
      </w:numPr>
      <w:outlineLvl w:val="5"/>
    </w:pPr>
  </w:style>
  <w:style w:type="paragraph" w:customStyle="1" w:styleId="19">
    <w:name w:val="五级条标题"/>
    <w:basedOn w:val="18"/>
    <w:next w:val="10"/>
    <w:qFormat/>
    <w:uiPriority w:val="0"/>
    <w:pPr>
      <w:numPr>
        <w:ilvl w:val="5"/>
      </w:numPr>
      <w:outlineLvl w:val="6"/>
    </w:pPr>
  </w:style>
  <w:style w:type="paragraph" w:customStyle="1" w:styleId="20">
    <w:name w:val="注："/>
    <w:next w:val="10"/>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1">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2">
    <w:name w:val="附录图标题"/>
    <w:basedOn w:val="1"/>
    <w:next w:val="10"/>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3">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4">
    <w:name w:val="图表脚注说明"/>
    <w:basedOn w:val="1"/>
    <w:qFormat/>
    <w:uiPriority w:val="0"/>
    <w:pPr>
      <w:numPr>
        <w:ilvl w:val="0"/>
        <w:numId w:val="7"/>
      </w:numPr>
    </w:pPr>
    <w:rPr>
      <w:rFonts w:ascii="宋体"/>
      <w:sz w:val="18"/>
      <w:szCs w:val="18"/>
    </w:rPr>
  </w:style>
  <w:style w:type="character" w:customStyle="1" w:styleId="25">
    <w:name w:val="段 Char"/>
    <w:basedOn w:val="8"/>
    <w:link w:val="10"/>
    <w:qFormat/>
    <w:uiPriority w:val="0"/>
    <w:rPr>
      <w:rFonts w:ascii="宋体"/>
      <w:sz w:val="21"/>
      <w:lang w:val="en-US" w:eastAsia="zh-CN" w:bidi="ar-SA"/>
    </w:rPr>
  </w:style>
  <w:style w:type="character" w:customStyle="1" w:styleId="26">
    <w:name w:val="页眉 字符"/>
    <w:basedOn w:val="8"/>
    <w:link w:val="4"/>
    <w:qFormat/>
    <w:uiPriority w:val="0"/>
    <w:rPr>
      <w:kern w:val="2"/>
      <w:sz w:val="18"/>
      <w:szCs w:val="18"/>
    </w:rPr>
  </w:style>
  <w:style w:type="character" w:customStyle="1" w:styleId="27">
    <w:name w:val="页脚 字符"/>
    <w:basedOn w:val="8"/>
    <w:link w:val="3"/>
    <w:qFormat/>
    <w:uiPriority w:val="99"/>
    <w:rPr>
      <w:kern w:val="2"/>
      <w:sz w:val="18"/>
      <w:szCs w:val="18"/>
    </w:rPr>
  </w:style>
  <w:style w:type="paragraph" w:customStyle="1" w:styleId="28">
    <w:name w:val="附录表标题"/>
    <w:basedOn w:val="1"/>
    <w:next w:val="10"/>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29">
    <w:name w:val="List Paragraph"/>
    <w:basedOn w:val="1"/>
    <w:unhideWhenUsed/>
    <w:qFormat/>
    <w:uiPriority w:val="34"/>
    <w:pPr>
      <w:ind w:firstLine="420" w:firstLineChars="200"/>
    </w:pPr>
  </w:style>
  <w:style w:type="paragraph" w:customStyle="1" w:styleId="3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1">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2">
    <w:name w:val="发布"/>
    <w:qFormat/>
    <w:uiPriority w:val="0"/>
    <w:rPr>
      <w:rFonts w:ascii="黑体" w:eastAsia="黑体"/>
      <w:spacing w:val="22"/>
      <w:w w:val="100"/>
      <w:position w:val="3"/>
      <w:sz w:val="28"/>
    </w:rPr>
  </w:style>
  <w:style w:type="paragraph" w:customStyle="1" w:styleId="33">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4">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5">
    <w:name w:val="批注框文本 字符"/>
    <w:basedOn w:val="8"/>
    <w:link w:val="2"/>
    <w:semiHidden/>
    <w:qFormat/>
    <w:uiPriority w:val="0"/>
    <w:rPr>
      <w:rFonts w:ascii="Times New Roman" w:hAnsi="Times New Roman"/>
      <w:kern w:val="2"/>
      <w:sz w:val="18"/>
      <w:szCs w:val="18"/>
    </w:rPr>
  </w:style>
  <w:style w:type="paragraph" w:customStyle="1" w:styleId="36">
    <w:name w:val="标准文件_一级无标题"/>
    <w:basedOn w:val="37"/>
    <w:qFormat/>
    <w:uiPriority w:val="0"/>
    <w:pPr>
      <w:spacing w:beforeLines="0" w:afterLines="0"/>
      <w:outlineLvl w:val="9"/>
    </w:pPr>
    <w:rPr>
      <w:rFonts w:ascii="宋体" w:eastAsia="宋体"/>
    </w:rPr>
  </w:style>
  <w:style w:type="paragraph" w:customStyle="1" w:styleId="37">
    <w:name w:val="标准文件_一级条标题"/>
    <w:basedOn w:val="38"/>
    <w:next w:val="34"/>
    <w:qFormat/>
    <w:uiPriority w:val="0"/>
    <w:pPr>
      <w:numPr>
        <w:ilvl w:val="2"/>
      </w:numPr>
      <w:spacing w:beforeLines="50" w:afterLines="50"/>
      <w:outlineLvl w:val="1"/>
    </w:pPr>
  </w:style>
  <w:style w:type="paragraph" w:customStyle="1" w:styleId="38">
    <w:name w:val="标准文件_章标题"/>
    <w:next w:val="34"/>
    <w:qFormat/>
    <w:uiPriority w:val="0"/>
    <w:pPr>
      <w:numPr>
        <w:ilvl w:val="1"/>
        <w:numId w:val="9"/>
      </w:numPr>
      <w:spacing w:beforeLines="100" w:afterLines="100"/>
      <w:jc w:val="both"/>
      <w:outlineLvl w:val="0"/>
    </w:pPr>
    <w:rPr>
      <w:rFonts w:ascii="黑体" w:hAnsi="Times New Roman" w:eastAsia="黑体" w:cs="Times New Roman"/>
      <w:sz w:val="21"/>
      <w:lang w:val="en-US" w:eastAsia="zh-CN" w:bidi="ar-SA"/>
    </w:rPr>
  </w:style>
  <w:style w:type="paragraph" w:customStyle="1" w:styleId="39">
    <w:name w:val="md-end-block"/>
    <w:basedOn w:val="1"/>
    <w:qFormat/>
    <w:uiPriority w:val="0"/>
    <w:pPr>
      <w:widowControl/>
      <w:spacing w:before="100" w:beforeAutospacing="1" w:after="100" w:afterAutospacing="1"/>
      <w:jc w:val="left"/>
    </w:pPr>
    <w:rPr>
      <w:rFonts w:ascii="宋体" w:hAnsi="宋体" w:eastAsia="宋体" w:cs="宋体"/>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WWW.YlmF.CoM</Company>
  <Pages>21</Pages>
  <Words>992</Words>
  <Characters>1008</Characters>
  <Lines>40</Lines>
  <Paragraphs>11</Paragraphs>
  <TotalTime>0</TotalTime>
  <ScaleCrop>false</ScaleCrop>
  <LinksUpToDate>false</LinksUpToDate>
  <CharactersWithSpaces>1008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2023-08-14T06:51:00Z</dcterms:created>
  <dc:creator>USER</dc:creator>
  <cp:lastModifiedBy>誰念誰川</cp:lastModifiedBy>
  <cp:lastPrinted>2019-07-10T11:21:00Z</cp:lastPrinted>
  <dcterms:modified xsi:type="dcterms:W3CDTF">2024-12-26T09:46:44Z</dcterms:modified>
  <dc:title>广西地方标准《脱氢枞酸》（征求意见稿）</dc:title>
  <cp:revision>64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BB705AFCA53A4D48B7998CFB408182A0_13</vt:lpwstr>
  </property>
</Properties>
</file>